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74F3" w14:textId="60715C1B" w:rsidR="00206E7B" w:rsidRPr="00866946" w:rsidRDefault="009E48B0" w:rsidP="00866946">
      <w:pPr>
        <w:pStyle w:val="Title"/>
      </w:pPr>
      <w:r w:rsidRPr="00866946">
        <w:t>Leonard Cheshire</w:t>
      </w:r>
    </w:p>
    <w:p w14:paraId="63E56139" w14:textId="77777777" w:rsidR="00140478" w:rsidRPr="006313F4" w:rsidRDefault="00140478" w:rsidP="00A56B6E">
      <w:pPr>
        <w:spacing w:line="276" w:lineRule="auto"/>
        <w:jc w:val="center"/>
        <w:rPr>
          <w:rFonts w:cs="Arial"/>
          <w:b/>
        </w:rPr>
      </w:pPr>
    </w:p>
    <w:p w14:paraId="71CFA477" w14:textId="283B6D99" w:rsidR="00140478" w:rsidRPr="00866946" w:rsidRDefault="00140478" w:rsidP="00866946">
      <w:pPr>
        <w:pStyle w:val="Title"/>
      </w:pPr>
      <w:r w:rsidRPr="00866946">
        <w:t>Gender Pay Gap Report – 20</w:t>
      </w:r>
      <w:r w:rsidR="00736549" w:rsidRPr="00866946">
        <w:t>2</w:t>
      </w:r>
      <w:r w:rsidR="00080C98">
        <w:t>2</w:t>
      </w:r>
    </w:p>
    <w:p w14:paraId="45E5647D" w14:textId="77777777" w:rsidR="00140478" w:rsidRPr="00DB71A8" w:rsidRDefault="00140478" w:rsidP="00A56B6E">
      <w:pPr>
        <w:spacing w:line="276" w:lineRule="auto"/>
        <w:jc w:val="both"/>
        <w:rPr>
          <w:rFonts w:cs="Arial"/>
          <w:sz w:val="20"/>
        </w:rPr>
      </w:pPr>
    </w:p>
    <w:p w14:paraId="0C4CE19C" w14:textId="24D4EA5B" w:rsidR="00140478" w:rsidRPr="00534FD2" w:rsidRDefault="00054D6F" w:rsidP="00EB4245">
      <w:pPr>
        <w:spacing w:before="120" w:line="276" w:lineRule="auto"/>
        <w:jc w:val="both"/>
        <w:rPr>
          <w:rFonts w:cs="Arial"/>
        </w:rPr>
      </w:pPr>
      <w:r>
        <w:rPr>
          <w:rFonts w:cs="Arial"/>
        </w:rPr>
        <w:t>As a charity in the UK and internationally, we strive to build a fairer, more inclusive society</w:t>
      </w:r>
      <w:r w:rsidR="00534FD2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534FD2">
        <w:rPr>
          <w:rFonts w:cs="Arial"/>
        </w:rPr>
        <w:t>o</w:t>
      </w:r>
      <w:r>
        <w:rPr>
          <w:rFonts w:cs="Arial"/>
        </w:rPr>
        <w:t>ne that recognises the positive contributions we all make, and where we are all proud to play our part.</w:t>
      </w:r>
    </w:p>
    <w:p w14:paraId="33791B37" w14:textId="6917AD25" w:rsidR="00473EEC" w:rsidRDefault="00054D6F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br/>
        <w:t xml:space="preserve">In keeping with this, </w:t>
      </w:r>
      <w:r w:rsidR="009E48B0">
        <w:rPr>
          <w:rFonts w:cs="Arial"/>
        </w:rPr>
        <w:t>Leonard Cheshire</w:t>
      </w:r>
      <w:r w:rsidR="00140478" w:rsidRPr="006313F4">
        <w:rPr>
          <w:rFonts w:cs="Arial"/>
        </w:rPr>
        <w:t xml:space="preserve"> is committed to building a </w:t>
      </w:r>
      <w:r w:rsidR="009E507A" w:rsidRPr="006313F4">
        <w:rPr>
          <w:rFonts w:cs="Arial"/>
        </w:rPr>
        <w:t xml:space="preserve">workplace </w:t>
      </w:r>
      <w:r w:rsidR="00866946">
        <w:rPr>
          <w:rFonts w:cs="Arial"/>
        </w:rPr>
        <w:t>that</w:t>
      </w:r>
      <w:r w:rsidR="009E507A">
        <w:rPr>
          <w:rFonts w:cs="Arial"/>
        </w:rPr>
        <w:t xml:space="preserve"> is </w:t>
      </w:r>
      <w:r w:rsidR="00140478" w:rsidRPr="006313F4">
        <w:rPr>
          <w:rFonts w:cs="Arial"/>
        </w:rPr>
        <w:t xml:space="preserve">diverse and inclusive for our employees. </w:t>
      </w:r>
      <w:r w:rsidR="00A61959">
        <w:rPr>
          <w:rFonts w:cs="Arial"/>
        </w:rPr>
        <w:t>Through</w:t>
      </w:r>
      <w:r w:rsidR="00140478" w:rsidRPr="006313F4">
        <w:rPr>
          <w:rFonts w:cs="Arial"/>
        </w:rPr>
        <w:t xml:space="preserve"> </w:t>
      </w:r>
      <w:r w:rsidR="009E507A">
        <w:rPr>
          <w:rFonts w:cs="Arial"/>
        </w:rPr>
        <w:t>various</w:t>
      </w:r>
      <w:r w:rsidR="00A61959">
        <w:rPr>
          <w:rFonts w:cs="Arial"/>
        </w:rPr>
        <w:t xml:space="preserve"> </w:t>
      </w:r>
      <w:r w:rsidR="00140478" w:rsidRPr="006313F4">
        <w:rPr>
          <w:rFonts w:cs="Arial"/>
        </w:rPr>
        <w:t xml:space="preserve">initiatives and </w:t>
      </w:r>
      <w:r w:rsidR="00455105" w:rsidRPr="006313F4">
        <w:rPr>
          <w:rFonts w:cs="Arial"/>
        </w:rPr>
        <w:t>strategies,</w:t>
      </w:r>
      <w:r w:rsidR="00140478" w:rsidRPr="006313F4">
        <w:rPr>
          <w:rFonts w:cs="Arial"/>
        </w:rPr>
        <w:t xml:space="preserve"> </w:t>
      </w:r>
      <w:r w:rsidR="00A61959">
        <w:rPr>
          <w:rFonts w:cs="Arial"/>
        </w:rPr>
        <w:t xml:space="preserve">we </w:t>
      </w:r>
      <w:r>
        <w:rPr>
          <w:rFonts w:cs="Arial"/>
        </w:rPr>
        <w:t xml:space="preserve">work </w:t>
      </w:r>
      <w:r w:rsidR="00A61959">
        <w:rPr>
          <w:rFonts w:cs="Arial"/>
        </w:rPr>
        <w:t xml:space="preserve">hard to </w:t>
      </w:r>
      <w:r w:rsidR="00140478" w:rsidRPr="006313F4">
        <w:rPr>
          <w:rFonts w:cs="Arial"/>
        </w:rPr>
        <w:t>attract</w:t>
      </w:r>
      <w:r w:rsidR="00080C98">
        <w:rPr>
          <w:rFonts w:cs="Arial"/>
        </w:rPr>
        <w:t xml:space="preserve"> and retain employees</w:t>
      </w:r>
      <w:r w:rsidR="00140478" w:rsidRPr="006313F4">
        <w:rPr>
          <w:rFonts w:cs="Arial"/>
        </w:rPr>
        <w:t>, develop</w:t>
      </w:r>
      <w:r w:rsidR="00080C98">
        <w:rPr>
          <w:rFonts w:cs="Arial"/>
        </w:rPr>
        <w:t>ing</w:t>
      </w:r>
      <w:r w:rsidR="00140478" w:rsidRPr="006313F4">
        <w:rPr>
          <w:rFonts w:cs="Arial"/>
        </w:rPr>
        <w:t xml:space="preserve"> and </w:t>
      </w:r>
      <w:r w:rsidR="00A61959">
        <w:rPr>
          <w:rFonts w:cs="Arial"/>
        </w:rPr>
        <w:t>offer</w:t>
      </w:r>
      <w:r w:rsidR="00080C98">
        <w:rPr>
          <w:rFonts w:cs="Arial"/>
        </w:rPr>
        <w:t>ing</w:t>
      </w:r>
      <w:r w:rsidR="00A61959">
        <w:rPr>
          <w:rFonts w:cs="Arial"/>
        </w:rPr>
        <w:t xml:space="preserve"> rewarding careers to</w:t>
      </w:r>
      <w:r w:rsidR="00A61959" w:rsidRPr="006313F4">
        <w:rPr>
          <w:rFonts w:cs="Arial"/>
        </w:rPr>
        <w:t xml:space="preserve"> </w:t>
      </w:r>
      <w:r w:rsidR="00080C98">
        <w:rPr>
          <w:rFonts w:cs="Arial"/>
        </w:rPr>
        <w:t>them</w:t>
      </w:r>
      <w:r w:rsidR="00140478" w:rsidRPr="006313F4">
        <w:rPr>
          <w:rFonts w:cs="Arial"/>
        </w:rPr>
        <w:t xml:space="preserve"> regardless of </w:t>
      </w:r>
      <w:r w:rsidR="00866946">
        <w:rPr>
          <w:rFonts w:cs="Arial"/>
        </w:rPr>
        <w:t xml:space="preserve">disability, </w:t>
      </w:r>
      <w:r w:rsidR="00140478" w:rsidRPr="006313F4">
        <w:rPr>
          <w:rFonts w:cs="Arial"/>
        </w:rPr>
        <w:t xml:space="preserve">race, </w:t>
      </w:r>
      <w:r w:rsidR="00866946">
        <w:rPr>
          <w:rFonts w:cs="Arial"/>
        </w:rPr>
        <w:t xml:space="preserve">gender, </w:t>
      </w:r>
      <w:r w:rsidR="00140478" w:rsidRPr="006313F4">
        <w:rPr>
          <w:rFonts w:cs="Arial"/>
        </w:rPr>
        <w:t>sexual orientation, religion</w:t>
      </w:r>
      <w:r w:rsidR="00866946">
        <w:rPr>
          <w:rFonts w:cs="Arial"/>
        </w:rPr>
        <w:t xml:space="preserve"> </w:t>
      </w:r>
      <w:r w:rsidR="006F265C">
        <w:rPr>
          <w:rFonts w:cs="Arial"/>
        </w:rPr>
        <w:t xml:space="preserve">or belief, </w:t>
      </w:r>
      <w:r w:rsidR="00866946">
        <w:rPr>
          <w:rFonts w:cs="Arial"/>
        </w:rPr>
        <w:t>or</w:t>
      </w:r>
      <w:r w:rsidR="00140478" w:rsidRPr="006313F4">
        <w:rPr>
          <w:rFonts w:cs="Arial"/>
        </w:rPr>
        <w:t xml:space="preserve"> age</w:t>
      </w:r>
      <w:r w:rsidR="00A61959">
        <w:rPr>
          <w:rFonts w:cs="Arial"/>
        </w:rPr>
        <w:t>.</w:t>
      </w:r>
    </w:p>
    <w:p w14:paraId="1D1DBF47" w14:textId="343791F3" w:rsidR="00140478" w:rsidRDefault="00054D6F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br/>
        <w:t xml:space="preserve">We are actively identifying and removing barriers and constraints that may impact </w:t>
      </w:r>
      <w:r w:rsidR="00866946">
        <w:rPr>
          <w:rFonts w:cs="Arial"/>
        </w:rPr>
        <w:t xml:space="preserve">negatively on </w:t>
      </w:r>
      <w:r w:rsidR="001E13E6">
        <w:rPr>
          <w:rFonts w:cs="Arial"/>
        </w:rPr>
        <w:t xml:space="preserve">our </w:t>
      </w:r>
      <w:r w:rsidR="00866946">
        <w:rPr>
          <w:rFonts w:cs="Arial"/>
        </w:rPr>
        <w:t>employee</w:t>
      </w:r>
      <w:r w:rsidR="001E13E6">
        <w:rPr>
          <w:rFonts w:cs="Arial"/>
        </w:rPr>
        <w:t>s’</w:t>
      </w:r>
      <w:r w:rsidR="00866946">
        <w:rPr>
          <w:rFonts w:cs="Arial"/>
        </w:rPr>
        <w:t xml:space="preserve"> experience of Leonard Cheshire as an inclusive workplace</w:t>
      </w:r>
      <w:r>
        <w:rPr>
          <w:rFonts w:cs="Arial"/>
        </w:rPr>
        <w:t>.</w:t>
      </w:r>
    </w:p>
    <w:p w14:paraId="52E6E0B5" w14:textId="7E4759E4" w:rsidR="00094F7A" w:rsidRDefault="00094F7A" w:rsidP="00A56B6E">
      <w:pPr>
        <w:spacing w:line="276" w:lineRule="auto"/>
        <w:jc w:val="both"/>
        <w:rPr>
          <w:rFonts w:cs="Arial"/>
        </w:rPr>
      </w:pPr>
    </w:p>
    <w:p w14:paraId="12506D60" w14:textId="0625D151" w:rsidR="00094F7A" w:rsidRPr="006313F4" w:rsidRDefault="00094F7A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This report covers statutory </w:t>
      </w:r>
      <w:r w:rsidR="00B405DF">
        <w:rPr>
          <w:rFonts w:cs="Arial"/>
        </w:rPr>
        <w:t xml:space="preserve">gender pay gap </w:t>
      </w:r>
      <w:r>
        <w:rPr>
          <w:rFonts w:cs="Arial"/>
        </w:rPr>
        <w:t>reporting</w:t>
      </w:r>
      <w:r w:rsidR="00B405DF" w:rsidRPr="005978EE">
        <w:rPr>
          <w:rFonts w:cs="Arial"/>
        </w:rPr>
        <w:t>.</w:t>
      </w:r>
    </w:p>
    <w:p w14:paraId="40E48C2E" w14:textId="77777777" w:rsidR="008001B0" w:rsidRPr="006313F4" w:rsidRDefault="008001B0" w:rsidP="00A56B6E">
      <w:pPr>
        <w:spacing w:line="276" w:lineRule="auto"/>
        <w:jc w:val="both"/>
        <w:rPr>
          <w:rFonts w:cs="Arial"/>
        </w:rPr>
      </w:pPr>
    </w:p>
    <w:p w14:paraId="1AE2A6B1" w14:textId="77777777" w:rsidR="00606B61" w:rsidRPr="00B3133C" w:rsidRDefault="00606B61" w:rsidP="00EB4245">
      <w:pPr>
        <w:pStyle w:val="Heading1"/>
      </w:pPr>
      <w:r w:rsidRPr="00B3133C">
        <w:t>Gender pay reporting</w:t>
      </w:r>
    </w:p>
    <w:p w14:paraId="04218FF3" w14:textId="30754761" w:rsidR="00252E4C" w:rsidRPr="006313F4" w:rsidRDefault="00252E4C" w:rsidP="00252E4C">
      <w:pPr>
        <w:spacing w:line="276" w:lineRule="auto"/>
        <w:jc w:val="both"/>
        <w:rPr>
          <w:rFonts w:cs="Arial"/>
        </w:rPr>
      </w:pPr>
      <w:r w:rsidRPr="006313F4">
        <w:rPr>
          <w:rFonts w:cs="Arial"/>
        </w:rPr>
        <w:t>The Equality Act 2010 (Gender Pay Gap Information) Regulations 2017 requires us to carry out Gender Pay Reporting.</w:t>
      </w:r>
      <w:r w:rsidR="00177E15" w:rsidRPr="006313F4">
        <w:rPr>
          <w:rFonts w:cs="Arial"/>
        </w:rPr>
        <w:t xml:space="preserve"> </w:t>
      </w:r>
      <w:r w:rsidRPr="006313F4">
        <w:rPr>
          <w:rFonts w:cs="Arial"/>
        </w:rPr>
        <w:t xml:space="preserve">This report </w:t>
      </w:r>
      <w:r w:rsidR="00054D6F">
        <w:rPr>
          <w:rFonts w:cs="Arial"/>
        </w:rPr>
        <w:t xml:space="preserve">is based on a </w:t>
      </w:r>
      <w:r w:rsidRPr="006313F4">
        <w:rPr>
          <w:rFonts w:cs="Arial"/>
        </w:rPr>
        <w:t xml:space="preserve">snapshot </w:t>
      </w:r>
      <w:r w:rsidR="003113B3">
        <w:rPr>
          <w:rFonts w:cs="Arial"/>
        </w:rPr>
        <w:t xml:space="preserve">from </w:t>
      </w:r>
      <w:r w:rsidR="009E48B0">
        <w:rPr>
          <w:rFonts w:cs="Arial"/>
        </w:rPr>
        <w:t>Leonard Cheshire</w:t>
      </w:r>
      <w:r w:rsidR="003113B3">
        <w:rPr>
          <w:rFonts w:cs="Arial"/>
        </w:rPr>
        <w:t xml:space="preserve"> on </w:t>
      </w:r>
      <w:r w:rsidR="00B62383">
        <w:rPr>
          <w:rFonts w:cs="Arial"/>
        </w:rPr>
        <w:t>5</w:t>
      </w:r>
      <w:r w:rsidRPr="006313F4">
        <w:rPr>
          <w:rFonts w:cs="Arial"/>
        </w:rPr>
        <w:t xml:space="preserve"> April 20</w:t>
      </w:r>
      <w:r w:rsidR="00C928D8">
        <w:rPr>
          <w:rFonts w:cs="Arial"/>
        </w:rPr>
        <w:t>2</w:t>
      </w:r>
      <w:r w:rsidR="00080C98">
        <w:rPr>
          <w:rFonts w:cs="Arial"/>
        </w:rPr>
        <w:t>2</w:t>
      </w:r>
      <w:r w:rsidR="003113B3">
        <w:rPr>
          <w:rFonts w:cs="Arial"/>
        </w:rPr>
        <w:t xml:space="preserve">. We have applied </w:t>
      </w:r>
      <w:r w:rsidR="00177E15" w:rsidRPr="006313F4">
        <w:rPr>
          <w:rFonts w:cs="Arial"/>
        </w:rPr>
        <w:t>the standard methodologies required by the regulations</w:t>
      </w:r>
      <w:r w:rsidRPr="006313F4">
        <w:rPr>
          <w:rFonts w:cs="Arial"/>
        </w:rPr>
        <w:t>.</w:t>
      </w:r>
    </w:p>
    <w:p w14:paraId="169C00DF" w14:textId="77777777" w:rsidR="00B15076" w:rsidRPr="006313F4" w:rsidRDefault="00B15076" w:rsidP="00A56B6E">
      <w:pPr>
        <w:spacing w:line="276" w:lineRule="auto"/>
        <w:jc w:val="both"/>
        <w:rPr>
          <w:rFonts w:cs="Arial"/>
        </w:rPr>
      </w:pPr>
    </w:p>
    <w:p w14:paraId="79DA2933" w14:textId="77777777" w:rsidR="0085664D" w:rsidRPr="006313F4" w:rsidRDefault="0085664D" w:rsidP="00EB4245">
      <w:pPr>
        <w:pStyle w:val="Heading1"/>
      </w:pPr>
      <w:r w:rsidRPr="006313F4">
        <w:t>Organisational context</w:t>
      </w:r>
    </w:p>
    <w:p w14:paraId="416B8097" w14:textId="2934DB42" w:rsidR="0085664D" w:rsidRPr="006313F4" w:rsidRDefault="00F55EB5" w:rsidP="0085664D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At the assessment date, </w:t>
      </w:r>
      <w:r w:rsidR="009E48B0">
        <w:rPr>
          <w:rFonts w:cs="Arial"/>
        </w:rPr>
        <w:t>Leonard Cheshire</w:t>
      </w:r>
      <w:r w:rsidR="0085664D" w:rsidRPr="006313F4">
        <w:rPr>
          <w:rFonts w:cs="Arial"/>
        </w:rPr>
        <w:t xml:space="preserve"> </w:t>
      </w:r>
      <w:r>
        <w:rPr>
          <w:rFonts w:cs="Arial"/>
        </w:rPr>
        <w:t>wa</w:t>
      </w:r>
      <w:r w:rsidR="0085664D" w:rsidRPr="006313F4">
        <w:rPr>
          <w:rFonts w:cs="Arial"/>
        </w:rPr>
        <w:t xml:space="preserve">s a charity supporting disabled people in the UK and around the world to fulfil their potential and live the lives they choose. </w:t>
      </w:r>
      <w:r w:rsidR="005604C9">
        <w:rPr>
          <w:rFonts w:cs="Arial"/>
        </w:rPr>
        <w:t>Most</w:t>
      </w:r>
      <w:r w:rsidR="0085664D" w:rsidRPr="006313F4">
        <w:rPr>
          <w:rFonts w:cs="Arial"/>
        </w:rPr>
        <w:t xml:space="preserve"> of our UK workforce </w:t>
      </w:r>
      <w:r>
        <w:rPr>
          <w:rFonts w:cs="Arial"/>
        </w:rPr>
        <w:t>wa</w:t>
      </w:r>
      <w:r w:rsidR="0085664D" w:rsidRPr="006313F4">
        <w:rPr>
          <w:rFonts w:cs="Arial"/>
        </w:rPr>
        <w:t xml:space="preserve">s employed in our UK </w:t>
      </w:r>
      <w:r w:rsidR="00B62383">
        <w:rPr>
          <w:rFonts w:cs="Arial"/>
        </w:rPr>
        <w:t xml:space="preserve">services </w:t>
      </w:r>
      <w:r w:rsidR="00B62383" w:rsidRPr="006313F4">
        <w:rPr>
          <w:rFonts w:cs="Arial"/>
        </w:rPr>
        <w:t>(</w:t>
      </w:r>
      <w:r w:rsidR="00080C98">
        <w:rPr>
          <w:rFonts w:cs="Arial"/>
        </w:rPr>
        <w:t>91</w:t>
      </w:r>
      <w:r w:rsidR="00B62383" w:rsidRPr="006313F4">
        <w:rPr>
          <w:rFonts w:cs="Arial"/>
        </w:rPr>
        <w:t>%)</w:t>
      </w:r>
      <w:r w:rsidR="0085664D" w:rsidRPr="006313F4">
        <w:rPr>
          <w:rFonts w:cs="Arial"/>
        </w:rPr>
        <w:t>.</w:t>
      </w:r>
      <w:r w:rsidR="006D484E" w:rsidRPr="006313F4">
        <w:rPr>
          <w:rFonts w:cs="Arial"/>
        </w:rPr>
        <w:t xml:space="preserve"> In line with norms in</w:t>
      </w:r>
      <w:r w:rsidR="006A3123" w:rsidRPr="006313F4">
        <w:rPr>
          <w:rFonts w:cs="Arial"/>
        </w:rPr>
        <w:t xml:space="preserve"> the</w:t>
      </w:r>
      <w:r w:rsidR="006D484E" w:rsidRPr="006313F4">
        <w:rPr>
          <w:rFonts w:cs="Arial"/>
        </w:rPr>
        <w:t xml:space="preserve"> social care</w:t>
      </w:r>
      <w:r w:rsidR="006A3123" w:rsidRPr="006313F4">
        <w:rPr>
          <w:rFonts w:cs="Arial"/>
        </w:rPr>
        <w:t xml:space="preserve"> </w:t>
      </w:r>
      <w:r>
        <w:rPr>
          <w:rFonts w:cs="Arial"/>
        </w:rPr>
        <w:t xml:space="preserve">and charity </w:t>
      </w:r>
      <w:r w:rsidR="006A3123" w:rsidRPr="006313F4">
        <w:rPr>
          <w:rFonts w:cs="Arial"/>
        </w:rPr>
        <w:t>sector</w:t>
      </w:r>
      <w:r>
        <w:rPr>
          <w:rFonts w:cs="Arial"/>
        </w:rPr>
        <w:t>s</w:t>
      </w:r>
      <w:r w:rsidR="006D484E" w:rsidRPr="006313F4">
        <w:rPr>
          <w:rFonts w:cs="Arial"/>
        </w:rPr>
        <w:t>,</w:t>
      </w:r>
      <w:r w:rsidR="00271862">
        <w:rPr>
          <w:rFonts w:cs="Arial"/>
        </w:rPr>
        <w:t xml:space="preserve"> most of</w:t>
      </w:r>
      <w:r w:rsidR="003113B3">
        <w:rPr>
          <w:rFonts w:cs="Arial"/>
        </w:rPr>
        <w:t xml:space="preserve"> our staff are female (</w:t>
      </w:r>
      <w:r w:rsidR="00C835D6">
        <w:rPr>
          <w:rFonts w:cs="Arial"/>
        </w:rPr>
        <w:t>7</w:t>
      </w:r>
      <w:r w:rsidR="00080C98">
        <w:rPr>
          <w:rFonts w:cs="Arial"/>
        </w:rPr>
        <w:t>7</w:t>
      </w:r>
      <w:r w:rsidR="003113B3">
        <w:rPr>
          <w:rFonts w:cs="Arial"/>
        </w:rPr>
        <w:t>%)</w:t>
      </w:r>
      <w:r w:rsidR="006D484E" w:rsidRPr="006313F4">
        <w:rPr>
          <w:rFonts w:cs="Arial"/>
        </w:rPr>
        <w:t xml:space="preserve">. </w:t>
      </w:r>
    </w:p>
    <w:p w14:paraId="5430EC75" w14:textId="77777777" w:rsidR="0085664D" w:rsidRPr="006313F4" w:rsidRDefault="0085664D" w:rsidP="0085664D">
      <w:pPr>
        <w:spacing w:line="276" w:lineRule="auto"/>
        <w:jc w:val="both"/>
        <w:rPr>
          <w:rFonts w:cs="Arial"/>
        </w:rPr>
      </w:pPr>
    </w:p>
    <w:p w14:paraId="73EC28E8" w14:textId="77777777" w:rsidR="00FD725A" w:rsidRPr="00B3133C" w:rsidRDefault="00825DCA" w:rsidP="00EB4245">
      <w:pPr>
        <w:pStyle w:val="Heading1"/>
      </w:pPr>
      <w:r w:rsidRPr="00B3133C">
        <w:t xml:space="preserve">Headline </w:t>
      </w:r>
      <w:r w:rsidR="00FD725A" w:rsidRPr="00B3133C">
        <w:t>gender pay gap</w:t>
      </w:r>
    </w:p>
    <w:p w14:paraId="45EA3568" w14:textId="77777777" w:rsidR="00EB6DF5" w:rsidRPr="006313F4" w:rsidRDefault="00636B82" w:rsidP="00A56B6E">
      <w:pPr>
        <w:spacing w:line="276" w:lineRule="auto"/>
        <w:jc w:val="both"/>
        <w:rPr>
          <w:rFonts w:cs="Arial"/>
        </w:rPr>
      </w:pPr>
      <w:r w:rsidRPr="006313F4">
        <w:rPr>
          <w:rFonts w:cs="Arial"/>
        </w:rPr>
        <w:t xml:space="preserve">The gender pay gap is defined as the difference between the mean or median hourly rate of pay that male and female </w:t>
      </w:r>
      <w:r w:rsidR="00B64170" w:rsidRPr="006313F4">
        <w:rPr>
          <w:rFonts w:cs="Arial"/>
        </w:rPr>
        <w:t>employees</w:t>
      </w:r>
      <w:r w:rsidRPr="006313F4">
        <w:rPr>
          <w:rFonts w:cs="Arial"/>
        </w:rPr>
        <w:t xml:space="preserve"> receive.</w:t>
      </w:r>
    </w:p>
    <w:p w14:paraId="450FAAA0" w14:textId="77777777" w:rsidR="00EB6DF5" w:rsidRPr="006313F4" w:rsidRDefault="00EB6DF5" w:rsidP="00A56B6E">
      <w:pPr>
        <w:spacing w:line="276" w:lineRule="auto"/>
        <w:jc w:val="both"/>
        <w:rPr>
          <w:rFonts w:cs="Arial"/>
        </w:rPr>
      </w:pPr>
    </w:p>
    <w:p w14:paraId="05119FC9" w14:textId="2E1BB443" w:rsidR="006F1C0E" w:rsidRDefault="005638B9" w:rsidP="00A56B6E">
      <w:pPr>
        <w:spacing w:line="276" w:lineRule="auto"/>
        <w:jc w:val="both"/>
        <w:rPr>
          <w:rFonts w:cs="Arial"/>
        </w:rPr>
      </w:pPr>
      <w:r w:rsidRPr="006313F4">
        <w:rPr>
          <w:rFonts w:cs="Arial"/>
        </w:rPr>
        <w:t xml:space="preserve">The median pay gap is the difference between the midpoints in the ranges of hourly earnings of men and women. </w:t>
      </w:r>
      <w:r w:rsidR="00636B82" w:rsidRPr="006313F4">
        <w:rPr>
          <w:rFonts w:cs="Arial"/>
        </w:rPr>
        <w:t>The mean pay gap is the difference between average hourly earnings of men and women.</w:t>
      </w:r>
      <w:r w:rsidR="00825DCA" w:rsidRPr="006313F4">
        <w:rPr>
          <w:rFonts w:cs="Arial"/>
        </w:rPr>
        <w:t xml:space="preserve"> </w:t>
      </w:r>
    </w:p>
    <w:p w14:paraId="77DF3119" w14:textId="77777777" w:rsidR="00473EEC" w:rsidRDefault="00473EEC" w:rsidP="00A56B6E">
      <w:pPr>
        <w:spacing w:line="276" w:lineRule="auto"/>
        <w:jc w:val="both"/>
        <w:rPr>
          <w:rFonts w:cs="Arial"/>
        </w:rPr>
      </w:pPr>
    </w:p>
    <w:p w14:paraId="102B8577" w14:textId="33A862EC" w:rsidR="00825DCA" w:rsidRDefault="00D6518F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At </w:t>
      </w:r>
      <w:r w:rsidR="009E48B0">
        <w:rPr>
          <w:rFonts w:cs="Arial"/>
        </w:rPr>
        <w:t>Leonard Cheshire</w:t>
      </w:r>
      <w:r>
        <w:rPr>
          <w:rFonts w:cs="Arial"/>
        </w:rPr>
        <w:t xml:space="preserve"> there </w:t>
      </w:r>
      <w:r w:rsidR="003C1FC2" w:rsidRPr="003C1FC2">
        <w:rPr>
          <w:rFonts w:cs="Arial"/>
        </w:rPr>
        <w:t xml:space="preserve">is a median </w:t>
      </w:r>
      <w:r w:rsidR="00011883">
        <w:rPr>
          <w:rFonts w:cs="Arial"/>
        </w:rPr>
        <w:t xml:space="preserve">pay </w:t>
      </w:r>
      <w:r w:rsidR="003C1FC2" w:rsidRPr="003C1FC2">
        <w:rPr>
          <w:rFonts w:cs="Arial"/>
        </w:rPr>
        <w:t xml:space="preserve">gap of </w:t>
      </w:r>
      <w:r w:rsidR="003C1FC2" w:rsidRPr="00011883">
        <w:rPr>
          <w:rFonts w:cs="Arial"/>
          <w:b/>
          <w:bCs/>
        </w:rPr>
        <w:t>0.</w:t>
      </w:r>
      <w:r w:rsidR="00080C98">
        <w:rPr>
          <w:rFonts w:cs="Arial"/>
          <w:b/>
          <w:bCs/>
        </w:rPr>
        <w:t>3</w:t>
      </w:r>
      <w:r w:rsidR="000042F1" w:rsidRPr="00011883">
        <w:rPr>
          <w:rFonts w:cs="Arial"/>
          <w:b/>
          <w:bCs/>
        </w:rPr>
        <w:t>%</w:t>
      </w:r>
      <w:r w:rsidR="003C1FC2" w:rsidRPr="003C1FC2">
        <w:rPr>
          <w:rFonts w:cs="Arial"/>
        </w:rPr>
        <w:t xml:space="preserve">, compared to a UK median of </w:t>
      </w:r>
      <w:r w:rsidR="00FC4312">
        <w:rPr>
          <w:rFonts w:cs="Arial"/>
        </w:rPr>
        <w:t>1</w:t>
      </w:r>
      <w:r w:rsidR="00080C98">
        <w:rPr>
          <w:rFonts w:cs="Arial"/>
        </w:rPr>
        <w:t>4</w:t>
      </w:r>
      <w:r w:rsidR="003C1FC2" w:rsidRPr="003C1FC2">
        <w:rPr>
          <w:rFonts w:cs="Arial"/>
        </w:rPr>
        <w:t>.</w:t>
      </w:r>
      <w:r w:rsidR="00080C98">
        <w:rPr>
          <w:rFonts w:cs="Arial"/>
        </w:rPr>
        <w:t>9</w:t>
      </w:r>
      <w:r w:rsidR="003C1FC2" w:rsidRPr="003C1FC2">
        <w:rPr>
          <w:rFonts w:cs="Arial"/>
        </w:rPr>
        <w:t>% in favour of men.</w:t>
      </w:r>
      <w:r w:rsidR="009E507A">
        <w:rPr>
          <w:rFonts w:cs="Arial"/>
        </w:rPr>
        <w:t xml:space="preserve"> </w:t>
      </w:r>
      <w:r w:rsidR="00011883">
        <w:rPr>
          <w:rFonts w:cs="Arial"/>
        </w:rPr>
        <w:t xml:space="preserve">For the not-for-profit sector, the median pay gap is </w:t>
      </w:r>
      <w:r w:rsidR="00080C98">
        <w:rPr>
          <w:rFonts w:cs="Arial"/>
        </w:rPr>
        <w:t>18</w:t>
      </w:r>
      <w:r w:rsidR="005371BA">
        <w:rPr>
          <w:rFonts w:cs="Arial"/>
        </w:rPr>
        <w:t>.</w:t>
      </w:r>
      <w:r w:rsidR="00080C98">
        <w:rPr>
          <w:rFonts w:cs="Arial"/>
        </w:rPr>
        <w:t>4</w:t>
      </w:r>
      <w:r w:rsidR="00011883">
        <w:rPr>
          <w:rFonts w:cs="Arial"/>
        </w:rPr>
        <w:t xml:space="preserve">%. The Leonard Cheshire </w:t>
      </w:r>
      <w:proofErr w:type="gramStart"/>
      <w:r w:rsidR="00011883">
        <w:rPr>
          <w:rFonts w:cs="Arial"/>
        </w:rPr>
        <w:t>mean</w:t>
      </w:r>
      <w:proofErr w:type="gramEnd"/>
      <w:r w:rsidR="00011883">
        <w:rPr>
          <w:rFonts w:cs="Arial"/>
        </w:rPr>
        <w:t xml:space="preserve"> pay gap is </w:t>
      </w:r>
      <w:r w:rsidR="008D4766">
        <w:rPr>
          <w:rFonts w:cs="Arial"/>
          <w:b/>
          <w:bCs/>
        </w:rPr>
        <w:t>8</w:t>
      </w:r>
      <w:r w:rsidR="00C835D6" w:rsidRPr="00011883">
        <w:rPr>
          <w:rFonts w:cs="Arial"/>
          <w:b/>
          <w:bCs/>
        </w:rPr>
        <w:t>.</w:t>
      </w:r>
      <w:r w:rsidR="001670C7">
        <w:rPr>
          <w:rFonts w:cs="Arial"/>
          <w:b/>
          <w:bCs/>
        </w:rPr>
        <w:t>1</w:t>
      </w:r>
      <w:r w:rsidR="00FC4312" w:rsidRPr="00011883">
        <w:rPr>
          <w:rFonts w:cs="Arial"/>
          <w:b/>
          <w:bCs/>
        </w:rPr>
        <w:t>%</w:t>
      </w:r>
      <w:r w:rsidR="00011883">
        <w:rPr>
          <w:rFonts w:cs="Arial"/>
        </w:rPr>
        <w:t>, compared to t</w:t>
      </w:r>
      <w:r>
        <w:rPr>
          <w:rFonts w:cs="Arial"/>
        </w:rPr>
        <w:t xml:space="preserve">he </w:t>
      </w:r>
      <w:r w:rsidR="005A6854">
        <w:rPr>
          <w:rFonts w:cs="Arial"/>
        </w:rPr>
        <w:t>UK</w:t>
      </w:r>
      <w:r w:rsidR="00FC4312">
        <w:rPr>
          <w:rFonts w:cs="Arial"/>
        </w:rPr>
        <w:t xml:space="preserve"> mean pay gap </w:t>
      </w:r>
      <w:r w:rsidR="00011883">
        <w:rPr>
          <w:rFonts w:cs="Arial"/>
        </w:rPr>
        <w:t>of</w:t>
      </w:r>
      <w:r w:rsidR="00FC4312">
        <w:rPr>
          <w:rFonts w:cs="Arial"/>
        </w:rPr>
        <w:t xml:space="preserve"> 1</w:t>
      </w:r>
      <w:r w:rsidR="008D4766">
        <w:rPr>
          <w:rFonts w:cs="Arial"/>
        </w:rPr>
        <w:t>3</w:t>
      </w:r>
      <w:r w:rsidR="00FC4312">
        <w:rPr>
          <w:rFonts w:cs="Arial"/>
        </w:rPr>
        <w:t>.</w:t>
      </w:r>
      <w:r w:rsidR="005371BA">
        <w:rPr>
          <w:rFonts w:cs="Arial"/>
        </w:rPr>
        <w:t>9</w:t>
      </w:r>
      <w:r w:rsidR="00FC4312">
        <w:rPr>
          <w:rFonts w:cs="Arial"/>
        </w:rPr>
        <w:t>%</w:t>
      </w:r>
      <w:r w:rsidR="00130B74">
        <w:rPr>
          <w:rFonts w:cs="Arial"/>
        </w:rPr>
        <w:t xml:space="preserve"> in </w:t>
      </w:r>
      <w:r w:rsidR="00130B74">
        <w:rPr>
          <w:rFonts w:cs="Arial"/>
        </w:rPr>
        <w:lastRenderedPageBreak/>
        <w:t>favour of men</w:t>
      </w:r>
      <w:r>
        <w:rPr>
          <w:rFonts w:cs="Arial"/>
        </w:rPr>
        <w:t>.</w:t>
      </w:r>
      <w:r w:rsidR="00011883">
        <w:rPr>
          <w:rFonts w:cs="Arial"/>
        </w:rPr>
        <w:t xml:space="preserve"> The not-for-profit mean pay gap is </w:t>
      </w:r>
      <w:r w:rsidR="005371BA">
        <w:rPr>
          <w:rFonts w:cs="Arial"/>
        </w:rPr>
        <w:t>1</w:t>
      </w:r>
      <w:r w:rsidR="008D4766">
        <w:rPr>
          <w:rFonts w:cs="Arial"/>
        </w:rPr>
        <w:t>3</w:t>
      </w:r>
      <w:r w:rsidR="00011883">
        <w:rPr>
          <w:rFonts w:cs="Arial"/>
        </w:rPr>
        <w:t>.</w:t>
      </w:r>
      <w:r w:rsidR="008D4766">
        <w:rPr>
          <w:rFonts w:cs="Arial"/>
        </w:rPr>
        <w:t>3</w:t>
      </w:r>
      <w:r w:rsidR="00011883">
        <w:rPr>
          <w:rFonts w:cs="Arial"/>
        </w:rPr>
        <w:t>%.</w:t>
      </w:r>
      <w:r w:rsidR="00011883">
        <w:rPr>
          <w:rStyle w:val="FootnoteReference"/>
          <w:rFonts w:cs="Arial"/>
        </w:rPr>
        <w:footnoteReference w:id="1"/>
      </w:r>
      <w:r w:rsidR="00130B74">
        <w:rPr>
          <w:rFonts w:cs="Arial"/>
        </w:rPr>
        <w:t xml:space="preserve"> Leonard Cheshire is favourably positioned against the not-for-profit sector and the broader market.</w:t>
      </w:r>
    </w:p>
    <w:p w14:paraId="2AE0ABC6" w14:textId="77777777" w:rsidR="009E507A" w:rsidRDefault="009E507A" w:rsidP="009E507A">
      <w:pPr>
        <w:spacing w:before="120" w:line="276" w:lineRule="auto"/>
        <w:jc w:val="both"/>
        <w:rPr>
          <w:rFonts w:cs="Arial"/>
        </w:rPr>
      </w:pPr>
      <w:r>
        <w:rPr>
          <w:rFonts w:cs="Arial"/>
        </w:rPr>
        <w:t>Leonard Cheshire</w:t>
      </w:r>
      <w:r w:rsidRPr="006313F4">
        <w:rPr>
          <w:rFonts w:cs="Arial"/>
        </w:rPr>
        <w:t xml:space="preserve"> does not operate a bonus scheme, so the figures reflected are for ordinary earnings only.</w:t>
      </w:r>
    </w:p>
    <w:p w14:paraId="7D36CE1C" w14:textId="77777777" w:rsidR="00534FD2" w:rsidRPr="006313F4" w:rsidRDefault="00534FD2" w:rsidP="00A56B6E">
      <w:pPr>
        <w:spacing w:line="276" w:lineRule="auto"/>
        <w:jc w:val="both"/>
        <w:rPr>
          <w:rFonts w:cs="Arial"/>
        </w:rPr>
      </w:pPr>
    </w:p>
    <w:p w14:paraId="5A35804B" w14:textId="16EE3088" w:rsidR="006802E9" w:rsidRDefault="006F1C0E" w:rsidP="006802E9">
      <w:pPr>
        <w:spacing w:after="120" w:line="276" w:lineRule="auto"/>
        <w:jc w:val="both"/>
        <w:rPr>
          <w:rFonts w:cs="Arial"/>
        </w:rPr>
      </w:pPr>
      <w:r w:rsidRPr="006313F4">
        <w:rPr>
          <w:rFonts w:cs="Arial"/>
        </w:rPr>
        <w:t xml:space="preserve">The following </w:t>
      </w:r>
      <w:r w:rsidR="003B2A45">
        <w:rPr>
          <w:rFonts w:cs="Arial"/>
        </w:rPr>
        <w:t>table</w:t>
      </w:r>
      <w:r w:rsidR="003A62B0" w:rsidRPr="006313F4">
        <w:rPr>
          <w:rFonts w:cs="Arial"/>
        </w:rPr>
        <w:t xml:space="preserve"> </w:t>
      </w:r>
      <w:r w:rsidR="003B2A45">
        <w:rPr>
          <w:rFonts w:cs="Arial"/>
        </w:rPr>
        <w:t>reflects</w:t>
      </w:r>
      <w:r w:rsidR="003A62B0" w:rsidRPr="006313F4">
        <w:rPr>
          <w:rFonts w:cs="Arial"/>
        </w:rPr>
        <w:t xml:space="preserve"> our </w:t>
      </w:r>
      <w:r w:rsidR="006802E9">
        <w:rPr>
          <w:rFonts w:cs="Arial"/>
        </w:rPr>
        <w:t>median</w:t>
      </w:r>
      <w:r w:rsidR="003A62B0" w:rsidRPr="006313F4">
        <w:rPr>
          <w:rFonts w:cs="Arial"/>
        </w:rPr>
        <w:t xml:space="preserve"> and me</w:t>
      </w:r>
      <w:r w:rsidR="006802E9">
        <w:rPr>
          <w:rFonts w:cs="Arial"/>
        </w:rPr>
        <w:t>an</w:t>
      </w:r>
      <w:r w:rsidR="003A62B0" w:rsidRPr="006313F4">
        <w:rPr>
          <w:rFonts w:cs="Arial"/>
        </w:rPr>
        <w:t xml:space="preserve"> pay gap figures</w:t>
      </w:r>
      <w:r w:rsidR="00D6518F">
        <w:rPr>
          <w:rFonts w:cs="Arial"/>
        </w:rPr>
        <w:t xml:space="preserve">, </w:t>
      </w:r>
      <w:r w:rsidR="00825DCA" w:rsidRPr="006313F4">
        <w:rPr>
          <w:rFonts w:cs="Arial"/>
        </w:rPr>
        <w:t xml:space="preserve">compared against </w:t>
      </w:r>
      <w:r w:rsidR="00B009DB">
        <w:rPr>
          <w:rFonts w:cs="Arial"/>
        </w:rPr>
        <w:t xml:space="preserve">gender pay gap </w:t>
      </w:r>
      <w:r w:rsidR="00534FD2">
        <w:rPr>
          <w:rFonts w:cs="Arial"/>
        </w:rPr>
        <w:t>ratio</w:t>
      </w:r>
      <w:r w:rsidR="00B009DB">
        <w:rPr>
          <w:rFonts w:cs="Arial"/>
        </w:rPr>
        <w:t>s</w:t>
      </w:r>
      <w:r w:rsidR="00534FD2">
        <w:rPr>
          <w:rFonts w:cs="Arial"/>
        </w:rPr>
        <w:t xml:space="preserve"> from </w:t>
      </w:r>
      <w:r w:rsidR="00B009DB">
        <w:rPr>
          <w:rFonts w:cs="Arial"/>
        </w:rPr>
        <w:t xml:space="preserve">the </w:t>
      </w:r>
      <w:r w:rsidR="00534FD2">
        <w:rPr>
          <w:rFonts w:cs="Arial"/>
        </w:rPr>
        <w:t>Office of National Statistics (ONS)</w:t>
      </w:r>
      <w:r w:rsidR="00825DCA" w:rsidRPr="006313F4">
        <w:rPr>
          <w:rFonts w:cs="Arial"/>
        </w:rPr>
        <w:t xml:space="preserve">. </w:t>
      </w:r>
    </w:p>
    <w:tbl>
      <w:tblPr>
        <w:tblStyle w:val="GridTable1Light"/>
        <w:tblW w:w="8987" w:type="dxa"/>
        <w:tblLayout w:type="fixed"/>
        <w:tblLook w:val="04A0" w:firstRow="1" w:lastRow="0" w:firstColumn="1" w:lastColumn="0" w:noHBand="0" w:noVBand="1"/>
      </w:tblPr>
      <w:tblGrid>
        <w:gridCol w:w="3231"/>
        <w:gridCol w:w="3629"/>
        <w:gridCol w:w="1063"/>
        <w:gridCol w:w="1064"/>
      </w:tblGrid>
      <w:tr w:rsidR="004A1D88" w:rsidRPr="007619DB" w14:paraId="49B8C4F8" w14:textId="77777777" w:rsidTr="00761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  <w:hideMark/>
          </w:tcPr>
          <w:p w14:paraId="0CD413AC" w14:textId="1A55148C" w:rsidR="00DB71A8" w:rsidRPr="007619DB" w:rsidRDefault="00DB71A8" w:rsidP="006532DA">
            <w:pPr>
              <w:rPr>
                <w:rFonts w:cs="Arial"/>
                <w:b w:val="0"/>
                <w:bCs w:val="0"/>
                <w:color w:val="000000"/>
              </w:rPr>
            </w:pPr>
            <w:r w:rsidRPr="007619DB">
              <w:rPr>
                <w:rFonts w:cs="Arial"/>
                <w:color w:val="000000"/>
              </w:rPr>
              <w:t>Organisation</w:t>
            </w:r>
            <w:r w:rsidR="008F443B" w:rsidRPr="007619DB">
              <w:rPr>
                <w:rFonts w:cs="Arial"/>
                <w:color w:val="000000"/>
              </w:rPr>
              <w:t>/source</w:t>
            </w:r>
          </w:p>
        </w:tc>
        <w:tc>
          <w:tcPr>
            <w:tcW w:w="3629" w:type="dxa"/>
          </w:tcPr>
          <w:p w14:paraId="37759FD2" w14:textId="116CA4EF" w:rsidR="00DB71A8" w:rsidRPr="007619DB" w:rsidRDefault="00DB71A8" w:rsidP="00653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7619DB">
              <w:rPr>
                <w:rFonts w:cs="Arial"/>
                <w:color w:val="000000"/>
              </w:rPr>
              <w:t>Category</w:t>
            </w:r>
          </w:p>
        </w:tc>
        <w:tc>
          <w:tcPr>
            <w:tcW w:w="1063" w:type="dxa"/>
            <w:noWrap/>
            <w:hideMark/>
          </w:tcPr>
          <w:p w14:paraId="3F03763D" w14:textId="073C82E1" w:rsidR="00DB71A8" w:rsidRPr="007619DB" w:rsidRDefault="00DB71A8" w:rsidP="00653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7619DB">
              <w:rPr>
                <w:rFonts w:cs="Arial"/>
                <w:color w:val="000000"/>
              </w:rPr>
              <w:t>Median</w:t>
            </w:r>
          </w:p>
        </w:tc>
        <w:tc>
          <w:tcPr>
            <w:tcW w:w="1064" w:type="dxa"/>
            <w:noWrap/>
            <w:hideMark/>
          </w:tcPr>
          <w:p w14:paraId="02DBEA51" w14:textId="7062456A" w:rsidR="00DB71A8" w:rsidRPr="007619DB" w:rsidRDefault="00DB71A8" w:rsidP="00653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7619DB">
              <w:rPr>
                <w:rFonts w:cs="Arial"/>
                <w:color w:val="000000"/>
              </w:rPr>
              <w:t>Mean</w:t>
            </w:r>
          </w:p>
        </w:tc>
      </w:tr>
      <w:tr w:rsidR="004A1D88" w:rsidRPr="007619DB" w14:paraId="433388A5" w14:textId="77777777" w:rsidTr="007619D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  <w:hideMark/>
          </w:tcPr>
          <w:p w14:paraId="506949FE" w14:textId="59D3192D" w:rsidR="00DB71A8" w:rsidRPr="007619DB" w:rsidRDefault="00DB71A8" w:rsidP="006532DA">
            <w:pPr>
              <w:rPr>
                <w:rFonts w:cs="Arial"/>
                <w:b w:val="0"/>
                <w:color w:val="000000"/>
              </w:rPr>
            </w:pPr>
            <w:r w:rsidRPr="007619DB">
              <w:rPr>
                <w:rFonts w:cs="Arial"/>
                <w:color w:val="000000"/>
              </w:rPr>
              <w:t>Leonard Cheshire</w:t>
            </w:r>
          </w:p>
        </w:tc>
        <w:tc>
          <w:tcPr>
            <w:tcW w:w="3629" w:type="dxa"/>
          </w:tcPr>
          <w:p w14:paraId="0F6817EF" w14:textId="13F28A1B" w:rsidR="00DB71A8" w:rsidRPr="007619DB" w:rsidRDefault="00DB71A8" w:rsidP="00DB7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619DB">
              <w:rPr>
                <w:rFonts w:cs="Arial"/>
                <w:b/>
                <w:bCs/>
                <w:color w:val="000000"/>
              </w:rPr>
              <w:t>All staff</w:t>
            </w:r>
          </w:p>
        </w:tc>
        <w:tc>
          <w:tcPr>
            <w:tcW w:w="1063" w:type="dxa"/>
            <w:noWrap/>
            <w:hideMark/>
          </w:tcPr>
          <w:p w14:paraId="72487554" w14:textId="1C2AF7DD" w:rsidR="00DB71A8" w:rsidRPr="007619DB" w:rsidRDefault="000042F1" w:rsidP="0065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7619DB">
              <w:rPr>
                <w:rFonts w:cs="Arial"/>
                <w:b/>
                <w:bCs/>
                <w:color w:val="000000"/>
              </w:rPr>
              <w:t>0.</w:t>
            </w:r>
            <w:r w:rsidR="008D4766">
              <w:rPr>
                <w:rFonts w:cs="Arial"/>
                <w:b/>
                <w:bCs/>
                <w:color w:val="000000"/>
              </w:rPr>
              <w:t>3</w:t>
            </w:r>
            <w:r w:rsidR="00DB71A8" w:rsidRPr="007619DB">
              <w:rPr>
                <w:rFonts w:cs="Arial"/>
                <w:b/>
                <w:bCs/>
                <w:color w:val="000000"/>
              </w:rPr>
              <w:t>%</w:t>
            </w:r>
          </w:p>
        </w:tc>
        <w:tc>
          <w:tcPr>
            <w:tcW w:w="1064" w:type="dxa"/>
            <w:noWrap/>
            <w:hideMark/>
          </w:tcPr>
          <w:p w14:paraId="60CA1279" w14:textId="1D93776C" w:rsidR="00DB71A8" w:rsidRPr="007619DB" w:rsidRDefault="008D4766" w:rsidP="006532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</w:t>
            </w:r>
            <w:r w:rsidR="0087480B">
              <w:rPr>
                <w:rFonts w:cs="Arial"/>
                <w:b/>
                <w:bCs/>
                <w:color w:val="000000"/>
              </w:rPr>
              <w:t>.</w:t>
            </w:r>
            <w:r w:rsidR="001670C7">
              <w:rPr>
                <w:rFonts w:cs="Arial"/>
                <w:b/>
                <w:bCs/>
                <w:color w:val="000000"/>
              </w:rPr>
              <w:t>1</w:t>
            </w:r>
            <w:r w:rsidR="00011883" w:rsidRPr="007619DB">
              <w:rPr>
                <w:rFonts w:cs="Arial"/>
                <w:b/>
                <w:bCs/>
                <w:color w:val="000000"/>
              </w:rPr>
              <w:t>%</w:t>
            </w:r>
          </w:p>
        </w:tc>
      </w:tr>
      <w:tr w:rsidR="00011883" w:rsidRPr="007619DB" w14:paraId="28552D26" w14:textId="77777777" w:rsidTr="007619D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</w:tcPr>
          <w:p w14:paraId="3A9B98DC" w14:textId="3DD880D7" w:rsidR="00011883" w:rsidRPr="007619DB" w:rsidRDefault="00011883" w:rsidP="00011883">
            <w:pPr>
              <w:rPr>
                <w:rFonts w:cs="Arial"/>
                <w:color w:val="000000"/>
              </w:rPr>
            </w:pPr>
            <w:r w:rsidRPr="007619DB">
              <w:rPr>
                <w:rFonts w:cs="Arial"/>
                <w:color w:val="000000"/>
              </w:rPr>
              <w:t xml:space="preserve">ONS </w:t>
            </w:r>
            <w:r w:rsidRPr="007619DB">
              <w:t>ASHE gender tables</w:t>
            </w:r>
          </w:p>
        </w:tc>
        <w:tc>
          <w:tcPr>
            <w:tcW w:w="3629" w:type="dxa"/>
          </w:tcPr>
          <w:p w14:paraId="7E43FB4C" w14:textId="45F71E3D" w:rsidR="00011883" w:rsidRPr="007619DB" w:rsidRDefault="00011883" w:rsidP="0001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Not-for-Profit fulltime employees</w:t>
            </w:r>
          </w:p>
        </w:tc>
        <w:tc>
          <w:tcPr>
            <w:tcW w:w="1063" w:type="dxa"/>
            <w:noWrap/>
          </w:tcPr>
          <w:p w14:paraId="110C887A" w14:textId="0D08EAF2" w:rsidR="00011883" w:rsidRPr="007619DB" w:rsidRDefault="0087480B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8D4766">
              <w:rPr>
                <w:rFonts w:cs="Arial"/>
                <w:bCs/>
                <w:color w:val="000000"/>
              </w:rPr>
              <w:t>2</w:t>
            </w:r>
            <w:r>
              <w:rPr>
                <w:rFonts w:cs="Arial"/>
                <w:bCs/>
                <w:color w:val="000000"/>
              </w:rPr>
              <w:t>.</w:t>
            </w:r>
            <w:r w:rsidR="008D4766">
              <w:rPr>
                <w:rFonts w:cs="Arial"/>
                <w:bCs/>
                <w:color w:val="000000"/>
              </w:rPr>
              <w:t>6</w:t>
            </w:r>
            <w:r w:rsidR="00011883" w:rsidRPr="007619DB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64" w:type="dxa"/>
            <w:noWrap/>
          </w:tcPr>
          <w:p w14:paraId="28DC5928" w14:textId="0A118947" w:rsidR="00011883" w:rsidRPr="007619DB" w:rsidRDefault="00011883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1</w:t>
            </w:r>
            <w:r w:rsidR="008D4766">
              <w:rPr>
                <w:rFonts w:cs="Arial"/>
                <w:bCs/>
                <w:color w:val="000000"/>
              </w:rPr>
              <w:t>3</w:t>
            </w:r>
            <w:r w:rsidRPr="007619DB">
              <w:rPr>
                <w:rFonts w:cs="Arial"/>
                <w:bCs/>
                <w:color w:val="000000"/>
              </w:rPr>
              <w:t>.</w:t>
            </w:r>
            <w:r w:rsidR="008D4766">
              <w:rPr>
                <w:rFonts w:cs="Arial"/>
                <w:bCs/>
                <w:color w:val="000000"/>
              </w:rPr>
              <w:t>4</w:t>
            </w:r>
            <w:r w:rsidRPr="007619DB">
              <w:rPr>
                <w:rFonts w:cs="Arial"/>
                <w:bCs/>
                <w:color w:val="000000"/>
              </w:rPr>
              <w:t>%</w:t>
            </w:r>
          </w:p>
        </w:tc>
      </w:tr>
      <w:tr w:rsidR="00011883" w:rsidRPr="007619DB" w14:paraId="2CD1E1CD" w14:textId="77777777" w:rsidTr="007619D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</w:tcPr>
          <w:p w14:paraId="790A7DBB" w14:textId="35D39145" w:rsidR="00011883" w:rsidRPr="007619DB" w:rsidRDefault="00011883" w:rsidP="00011883">
            <w:pPr>
              <w:rPr>
                <w:rFonts w:cs="Arial"/>
                <w:color w:val="000000"/>
              </w:rPr>
            </w:pPr>
            <w:r w:rsidRPr="007619DB">
              <w:rPr>
                <w:rFonts w:cs="Arial"/>
                <w:color w:val="000000"/>
              </w:rPr>
              <w:t xml:space="preserve">ONS </w:t>
            </w:r>
            <w:r w:rsidRPr="007619DB">
              <w:t>ASHE gender tables</w:t>
            </w:r>
          </w:p>
        </w:tc>
        <w:tc>
          <w:tcPr>
            <w:tcW w:w="3629" w:type="dxa"/>
          </w:tcPr>
          <w:p w14:paraId="228654C3" w14:textId="6F82F9B2" w:rsidR="00011883" w:rsidRPr="007619DB" w:rsidRDefault="00011883" w:rsidP="0001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Not-for-Profit all employees</w:t>
            </w:r>
          </w:p>
        </w:tc>
        <w:tc>
          <w:tcPr>
            <w:tcW w:w="1063" w:type="dxa"/>
            <w:noWrap/>
          </w:tcPr>
          <w:p w14:paraId="166E90FD" w14:textId="424136C6" w:rsidR="00011883" w:rsidRPr="007619DB" w:rsidRDefault="008D4766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18</w:t>
            </w:r>
            <w:r w:rsidR="0087480B">
              <w:rPr>
                <w:rFonts w:cs="Arial"/>
                <w:bCs/>
                <w:color w:val="000000"/>
              </w:rPr>
              <w:t>.</w:t>
            </w:r>
            <w:r>
              <w:rPr>
                <w:rFonts w:cs="Arial"/>
                <w:bCs/>
                <w:color w:val="000000"/>
              </w:rPr>
              <w:t>4</w:t>
            </w:r>
            <w:r w:rsidR="00011883" w:rsidRPr="007619DB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64" w:type="dxa"/>
            <w:noWrap/>
          </w:tcPr>
          <w:p w14:paraId="2ABCECB7" w14:textId="5A2DF4D8" w:rsidR="00011883" w:rsidRPr="007619DB" w:rsidRDefault="0087480B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</w:t>
            </w:r>
            <w:r w:rsidR="008D4766">
              <w:rPr>
                <w:rFonts w:cs="Arial"/>
                <w:bCs/>
                <w:color w:val="000000"/>
              </w:rPr>
              <w:t>5</w:t>
            </w:r>
            <w:r w:rsidR="00011883" w:rsidRPr="007619DB">
              <w:rPr>
                <w:rFonts w:cs="Arial"/>
                <w:bCs/>
                <w:color w:val="000000"/>
              </w:rPr>
              <w:t>.</w:t>
            </w:r>
            <w:r w:rsidR="008D4766">
              <w:rPr>
                <w:rFonts w:cs="Arial"/>
                <w:bCs/>
                <w:color w:val="000000"/>
              </w:rPr>
              <w:t>3</w:t>
            </w:r>
            <w:r w:rsidR="00011883" w:rsidRPr="007619DB">
              <w:rPr>
                <w:rFonts w:cs="Arial"/>
                <w:bCs/>
                <w:color w:val="000000"/>
              </w:rPr>
              <w:t>%</w:t>
            </w:r>
          </w:p>
        </w:tc>
      </w:tr>
      <w:tr w:rsidR="00011883" w:rsidRPr="007619DB" w14:paraId="4456DEB8" w14:textId="77777777" w:rsidTr="007619D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</w:tcPr>
          <w:p w14:paraId="00658240" w14:textId="62616E8D" w:rsidR="00011883" w:rsidRPr="007619DB" w:rsidRDefault="00011883" w:rsidP="00011883">
            <w:pPr>
              <w:rPr>
                <w:rFonts w:cs="Arial"/>
                <w:color w:val="000000"/>
              </w:rPr>
            </w:pPr>
            <w:r w:rsidRPr="007619DB">
              <w:rPr>
                <w:rFonts w:cs="Arial"/>
                <w:color w:val="000000"/>
              </w:rPr>
              <w:t xml:space="preserve">ONS </w:t>
            </w:r>
            <w:r w:rsidRPr="007619DB">
              <w:t>ASHE gender tables</w:t>
            </w:r>
          </w:p>
        </w:tc>
        <w:tc>
          <w:tcPr>
            <w:tcW w:w="3629" w:type="dxa"/>
          </w:tcPr>
          <w:p w14:paraId="51428061" w14:textId="6099627A" w:rsidR="00011883" w:rsidRPr="007619DB" w:rsidRDefault="00011883" w:rsidP="0001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All fulltime staff</w:t>
            </w:r>
          </w:p>
        </w:tc>
        <w:tc>
          <w:tcPr>
            <w:tcW w:w="1063" w:type="dxa"/>
            <w:noWrap/>
          </w:tcPr>
          <w:p w14:paraId="7F43ECBE" w14:textId="2D8B5015" w:rsidR="00011883" w:rsidRPr="007619DB" w:rsidRDefault="008D4766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</w:t>
            </w:r>
            <w:r w:rsidR="00011883" w:rsidRPr="007619DB">
              <w:rPr>
                <w:rFonts w:cs="Arial"/>
                <w:bCs/>
                <w:color w:val="000000"/>
              </w:rPr>
              <w:t>.</w:t>
            </w:r>
            <w:r>
              <w:rPr>
                <w:rFonts w:cs="Arial"/>
                <w:bCs/>
                <w:color w:val="000000"/>
              </w:rPr>
              <w:t>3</w:t>
            </w:r>
            <w:r w:rsidR="00011883" w:rsidRPr="007619DB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64" w:type="dxa"/>
            <w:noWrap/>
          </w:tcPr>
          <w:p w14:paraId="6BDE25A3" w14:textId="130D0E8D" w:rsidR="00011883" w:rsidRPr="007619DB" w:rsidRDefault="00011883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11.</w:t>
            </w:r>
            <w:r w:rsidR="008D4766">
              <w:rPr>
                <w:rFonts w:cs="Arial"/>
                <w:bCs/>
                <w:color w:val="000000"/>
              </w:rPr>
              <w:t>3</w:t>
            </w:r>
            <w:r w:rsidRPr="007619DB">
              <w:rPr>
                <w:rFonts w:cs="Arial"/>
                <w:bCs/>
                <w:color w:val="000000"/>
              </w:rPr>
              <w:t>%</w:t>
            </w:r>
          </w:p>
        </w:tc>
      </w:tr>
      <w:tr w:rsidR="00011883" w:rsidRPr="007619DB" w14:paraId="25B54814" w14:textId="77777777" w:rsidTr="007619D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1" w:type="dxa"/>
            <w:noWrap/>
          </w:tcPr>
          <w:p w14:paraId="03375BC7" w14:textId="6AE73107" w:rsidR="00011883" w:rsidRPr="007619DB" w:rsidRDefault="00011883" w:rsidP="00011883">
            <w:pPr>
              <w:rPr>
                <w:rFonts w:cs="Arial"/>
                <w:color w:val="000000"/>
              </w:rPr>
            </w:pPr>
            <w:r w:rsidRPr="007619DB">
              <w:rPr>
                <w:rFonts w:cs="Arial"/>
                <w:color w:val="000000"/>
              </w:rPr>
              <w:t xml:space="preserve">ONS </w:t>
            </w:r>
            <w:r w:rsidRPr="007619DB">
              <w:t>ASHE gender tables</w:t>
            </w:r>
          </w:p>
        </w:tc>
        <w:tc>
          <w:tcPr>
            <w:tcW w:w="3629" w:type="dxa"/>
          </w:tcPr>
          <w:p w14:paraId="7DC8966A" w14:textId="5841D708" w:rsidR="00011883" w:rsidRPr="007619DB" w:rsidRDefault="00011883" w:rsidP="00011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All staff</w:t>
            </w:r>
          </w:p>
        </w:tc>
        <w:tc>
          <w:tcPr>
            <w:tcW w:w="1063" w:type="dxa"/>
            <w:noWrap/>
          </w:tcPr>
          <w:p w14:paraId="133F5866" w14:textId="53366BDE" w:rsidR="00011883" w:rsidRPr="007619DB" w:rsidRDefault="00011883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1</w:t>
            </w:r>
            <w:r w:rsidR="008D4766">
              <w:rPr>
                <w:rFonts w:cs="Arial"/>
                <w:bCs/>
                <w:color w:val="000000"/>
              </w:rPr>
              <w:t>4</w:t>
            </w:r>
            <w:r w:rsidRPr="007619DB">
              <w:rPr>
                <w:rFonts w:cs="Arial"/>
                <w:bCs/>
                <w:color w:val="000000"/>
              </w:rPr>
              <w:t>.</w:t>
            </w:r>
            <w:r w:rsidR="008D4766">
              <w:rPr>
                <w:rFonts w:cs="Arial"/>
                <w:bCs/>
                <w:color w:val="000000"/>
              </w:rPr>
              <w:t>9</w:t>
            </w:r>
            <w:r w:rsidRPr="007619DB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64" w:type="dxa"/>
            <w:noWrap/>
          </w:tcPr>
          <w:p w14:paraId="002EFD3A" w14:textId="2D691AED" w:rsidR="00011883" w:rsidRPr="007619DB" w:rsidRDefault="00011883" w:rsidP="000118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7619DB">
              <w:rPr>
                <w:rFonts w:cs="Arial"/>
                <w:bCs/>
                <w:color w:val="000000"/>
              </w:rPr>
              <w:t>1</w:t>
            </w:r>
            <w:r w:rsidR="008D4766">
              <w:rPr>
                <w:rFonts w:cs="Arial"/>
                <w:bCs/>
                <w:color w:val="000000"/>
              </w:rPr>
              <w:t>3</w:t>
            </w:r>
            <w:r w:rsidRPr="007619DB">
              <w:rPr>
                <w:rFonts w:cs="Arial"/>
                <w:bCs/>
                <w:color w:val="000000"/>
              </w:rPr>
              <w:t>.</w:t>
            </w:r>
            <w:r w:rsidR="0087480B">
              <w:rPr>
                <w:rFonts w:cs="Arial"/>
                <w:bCs/>
                <w:color w:val="000000"/>
              </w:rPr>
              <w:t>9</w:t>
            </w:r>
            <w:r w:rsidRPr="007619DB">
              <w:rPr>
                <w:rFonts w:cs="Arial"/>
                <w:bCs/>
                <w:color w:val="000000"/>
              </w:rPr>
              <w:t>%</w:t>
            </w:r>
          </w:p>
        </w:tc>
      </w:tr>
    </w:tbl>
    <w:p w14:paraId="703011AE" w14:textId="77777777" w:rsidR="006802E9" w:rsidRDefault="006802E9" w:rsidP="006802E9">
      <w:pPr>
        <w:spacing w:line="276" w:lineRule="auto"/>
        <w:jc w:val="both"/>
        <w:rPr>
          <w:rFonts w:cs="Arial"/>
        </w:rPr>
      </w:pPr>
    </w:p>
    <w:p w14:paraId="41168939" w14:textId="5DE25D18" w:rsidR="003B2A45" w:rsidRDefault="00DB71A8" w:rsidP="005604C9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The </w:t>
      </w:r>
      <w:r w:rsidR="004A1D88">
        <w:rPr>
          <w:rFonts w:cs="Arial"/>
        </w:rPr>
        <w:t>d</w:t>
      </w:r>
      <w:r>
        <w:rPr>
          <w:rFonts w:cs="Arial"/>
        </w:rPr>
        <w:t xml:space="preserve">ata </w:t>
      </w:r>
      <w:r w:rsidR="004A1D88">
        <w:rPr>
          <w:rFonts w:cs="Arial"/>
        </w:rPr>
        <w:t xml:space="preserve">in the above table </w:t>
      </w:r>
      <w:r>
        <w:rPr>
          <w:rFonts w:cs="Arial"/>
        </w:rPr>
        <w:t xml:space="preserve">is </w:t>
      </w:r>
      <w:r w:rsidR="009E507A">
        <w:rPr>
          <w:rFonts w:cs="Arial"/>
        </w:rPr>
        <w:t xml:space="preserve">also </w:t>
      </w:r>
      <w:r>
        <w:rPr>
          <w:rFonts w:cs="Arial"/>
        </w:rPr>
        <w:t>reflected in the graph below</w:t>
      </w:r>
      <w:r w:rsidR="009E507A">
        <w:rPr>
          <w:rFonts w:cs="Arial"/>
        </w:rPr>
        <w:t>:</w:t>
      </w:r>
    </w:p>
    <w:p w14:paraId="501A539C" w14:textId="6727B7A3" w:rsidR="001670C7" w:rsidRDefault="001670C7" w:rsidP="005604C9">
      <w:pPr>
        <w:spacing w:after="120" w:line="276" w:lineRule="auto"/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CDA9742" wp14:editId="3FCD137C">
            <wp:extent cx="6027751" cy="3926205"/>
            <wp:effectExtent l="0" t="0" r="0" b="0"/>
            <wp:docPr id="2" name="Picture 2" descr="This graph shows the Leonard Cheshire median and mean gender pay gap figures relative to the market. It represents the figures in the previous table in graphic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is graph shows the Leonard Cheshire median and mean gender pay gap figures relative to the market. It represents the figures in the previous table in graphic for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188" cy="3933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2358F" w14:textId="2CB9FF66" w:rsidR="002116BD" w:rsidRDefault="002116BD" w:rsidP="00665DA6">
      <w:pPr>
        <w:spacing w:after="120" w:line="276" w:lineRule="auto"/>
        <w:jc w:val="both"/>
      </w:pPr>
      <w:r w:rsidRPr="006C3FBE">
        <w:t>Comparison to previous year</w:t>
      </w:r>
      <w:r w:rsidR="00604EE7">
        <w:t>s</w:t>
      </w:r>
    </w:p>
    <w:tbl>
      <w:tblPr>
        <w:tblStyle w:val="GridTable1Light"/>
        <w:tblW w:w="7582" w:type="dxa"/>
        <w:tblLook w:val="04A0" w:firstRow="1" w:lastRow="0" w:firstColumn="1" w:lastColumn="0" w:noHBand="0" w:noVBand="1"/>
      </w:tblPr>
      <w:tblGrid>
        <w:gridCol w:w="1043"/>
        <w:gridCol w:w="907"/>
        <w:gridCol w:w="1171"/>
        <w:gridCol w:w="858"/>
        <w:gridCol w:w="881"/>
        <w:gridCol w:w="881"/>
        <w:gridCol w:w="881"/>
        <w:gridCol w:w="960"/>
      </w:tblGrid>
      <w:tr w:rsidR="00FC7C75" w:rsidRPr="006C3FBE" w14:paraId="1406DA96" w14:textId="77777777" w:rsidTr="0066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  <w:noWrap/>
            <w:hideMark/>
          </w:tcPr>
          <w:p w14:paraId="097686B5" w14:textId="5DF680ED" w:rsidR="00FC7C75" w:rsidRPr="006C3FBE" w:rsidRDefault="00FC7C75" w:rsidP="008D4766">
            <w:pPr>
              <w:jc w:val="center"/>
              <w:rPr>
                <w:rFonts w:cs="Arial"/>
                <w:b w:val="0"/>
                <w:bCs w:val="0"/>
                <w:color w:val="000000"/>
              </w:rPr>
            </w:pPr>
          </w:p>
        </w:tc>
        <w:tc>
          <w:tcPr>
            <w:tcW w:w="907" w:type="dxa"/>
          </w:tcPr>
          <w:p w14:paraId="128C14DC" w14:textId="4BA60890" w:rsidR="00FC7C75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2022</w:t>
            </w:r>
          </w:p>
        </w:tc>
        <w:tc>
          <w:tcPr>
            <w:tcW w:w="1171" w:type="dxa"/>
          </w:tcPr>
          <w:p w14:paraId="23090115" w14:textId="05D654B4" w:rsidR="00FC7C75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6337F2">
              <w:rPr>
                <w:rFonts w:cs="Arial"/>
                <w:i/>
                <w:iCs/>
                <w:color w:val="000000"/>
              </w:rPr>
              <w:t>Diff to 202</w:t>
            </w:r>
            <w:r>
              <w:rPr>
                <w:rFonts w:cs="Arial"/>
                <w:i/>
                <w:iCs/>
                <w:color w:val="000000"/>
              </w:rPr>
              <w:t>1</w:t>
            </w:r>
          </w:p>
        </w:tc>
        <w:tc>
          <w:tcPr>
            <w:tcW w:w="858" w:type="dxa"/>
          </w:tcPr>
          <w:p w14:paraId="74978A65" w14:textId="40BFA0E4" w:rsidR="00FC7C75" w:rsidRPr="001E13E6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2021</w:t>
            </w:r>
          </w:p>
        </w:tc>
        <w:tc>
          <w:tcPr>
            <w:tcW w:w="881" w:type="dxa"/>
          </w:tcPr>
          <w:p w14:paraId="1D736288" w14:textId="6D65681C" w:rsidR="00FC7C75" w:rsidRPr="001E13E6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1E13E6">
              <w:rPr>
                <w:rFonts w:cs="Arial"/>
                <w:color w:val="000000"/>
              </w:rPr>
              <w:t>2020</w:t>
            </w:r>
          </w:p>
        </w:tc>
        <w:tc>
          <w:tcPr>
            <w:tcW w:w="881" w:type="dxa"/>
          </w:tcPr>
          <w:p w14:paraId="75C4E9B4" w14:textId="1AADED40" w:rsidR="00FC7C75" w:rsidRPr="006C3FBE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6C3FBE">
              <w:rPr>
                <w:rFonts w:cs="Arial"/>
                <w:color w:val="000000"/>
              </w:rPr>
              <w:t>201</w:t>
            </w: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881" w:type="dxa"/>
          </w:tcPr>
          <w:p w14:paraId="0FECD96D" w14:textId="510A8401" w:rsidR="00FC7C75" w:rsidRPr="006C3FBE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6C3FBE">
              <w:rPr>
                <w:rFonts w:cs="Arial"/>
                <w:color w:val="00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231A8773" w14:textId="2DC594DE" w:rsidR="00FC7C75" w:rsidRPr="006C3FBE" w:rsidRDefault="00FC7C75" w:rsidP="008D4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6C3FBE">
              <w:rPr>
                <w:rFonts w:cs="Arial"/>
                <w:color w:val="000000"/>
              </w:rPr>
              <w:t>2017</w:t>
            </w:r>
          </w:p>
        </w:tc>
      </w:tr>
      <w:tr w:rsidR="00FC7C75" w:rsidRPr="006C3FBE" w14:paraId="576153C0" w14:textId="77777777" w:rsidTr="00665DA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  <w:noWrap/>
            <w:hideMark/>
          </w:tcPr>
          <w:p w14:paraId="65FC607E" w14:textId="77777777" w:rsidR="00FC7C75" w:rsidRPr="006C3FBE" w:rsidRDefault="00FC7C75" w:rsidP="008D4766">
            <w:pPr>
              <w:rPr>
                <w:rFonts w:cs="Arial"/>
                <w:b w:val="0"/>
                <w:bCs w:val="0"/>
                <w:color w:val="000000"/>
              </w:rPr>
            </w:pPr>
            <w:r w:rsidRPr="006C3FBE">
              <w:rPr>
                <w:rFonts w:cs="Arial"/>
                <w:color w:val="000000"/>
              </w:rPr>
              <w:t>Median</w:t>
            </w:r>
          </w:p>
        </w:tc>
        <w:tc>
          <w:tcPr>
            <w:tcW w:w="907" w:type="dxa"/>
          </w:tcPr>
          <w:p w14:paraId="349A7028" w14:textId="46EEC4DA" w:rsidR="00FC7C75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0.3%</w:t>
            </w:r>
          </w:p>
        </w:tc>
        <w:tc>
          <w:tcPr>
            <w:tcW w:w="1171" w:type="dxa"/>
          </w:tcPr>
          <w:p w14:paraId="23CD8872" w14:textId="2659BE1C" w:rsidR="00FC7C75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>-0.1</w:t>
            </w:r>
            <w:r w:rsidRPr="006337F2">
              <w:rPr>
                <w:rFonts w:cs="Arial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858" w:type="dxa"/>
          </w:tcPr>
          <w:p w14:paraId="7F93A213" w14:textId="2B7B4F35" w:rsidR="00FC7C75" w:rsidRPr="00FC7C75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FC7C75">
              <w:rPr>
                <w:rFonts w:cs="Arial"/>
                <w:color w:val="000000"/>
              </w:rPr>
              <w:t>0.4%</w:t>
            </w:r>
          </w:p>
        </w:tc>
        <w:tc>
          <w:tcPr>
            <w:tcW w:w="881" w:type="dxa"/>
          </w:tcPr>
          <w:p w14:paraId="44E07B10" w14:textId="56E2756B" w:rsidR="00FC7C75" w:rsidRPr="006337F2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6337F2">
              <w:rPr>
                <w:rFonts w:cs="Arial"/>
                <w:color w:val="000000"/>
              </w:rPr>
              <w:t>0.0%</w:t>
            </w:r>
          </w:p>
        </w:tc>
        <w:tc>
          <w:tcPr>
            <w:tcW w:w="881" w:type="dxa"/>
          </w:tcPr>
          <w:p w14:paraId="21D1FDED" w14:textId="4B6D8DA9" w:rsidR="00FC7C75" w:rsidRPr="00130B74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130B74">
              <w:rPr>
                <w:rFonts w:cs="Arial"/>
                <w:color w:val="000000"/>
              </w:rPr>
              <w:t>0.0%</w:t>
            </w:r>
          </w:p>
        </w:tc>
        <w:tc>
          <w:tcPr>
            <w:tcW w:w="881" w:type="dxa"/>
          </w:tcPr>
          <w:p w14:paraId="30B46782" w14:textId="3E5DB6BC" w:rsidR="00FC7C75" w:rsidRPr="00AF2932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F2932">
              <w:rPr>
                <w:rFonts w:cs="Arial"/>
                <w:color w:val="000000"/>
              </w:rPr>
              <w:t>-0.2%</w:t>
            </w:r>
          </w:p>
        </w:tc>
        <w:tc>
          <w:tcPr>
            <w:tcW w:w="960" w:type="dxa"/>
            <w:noWrap/>
            <w:hideMark/>
          </w:tcPr>
          <w:p w14:paraId="1E0E9DDD" w14:textId="07039D40" w:rsidR="00FC7C75" w:rsidRPr="00AF2932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F2932">
              <w:rPr>
                <w:rFonts w:cs="Arial"/>
                <w:color w:val="000000"/>
              </w:rPr>
              <w:t>-0.7%</w:t>
            </w:r>
          </w:p>
        </w:tc>
      </w:tr>
      <w:tr w:rsidR="00FC7C75" w:rsidRPr="006C3FBE" w14:paraId="1FFF081A" w14:textId="77777777" w:rsidTr="00665DA6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" w:type="dxa"/>
            <w:noWrap/>
            <w:hideMark/>
          </w:tcPr>
          <w:p w14:paraId="4BD6C1F1" w14:textId="77777777" w:rsidR="00FC7C75" w:rsidRPr="006C3FBE" w:rsidRDefault="00FC7C75" w:rsidP="008D4766">
            <w:pPr>
              <w:rPr>
                <w:rFonts w:cs="Arial"/>
                <w:b w:val="0"/>
                <w:bCs w:val="0"/>
                <w:color w:val="000000"/>
              </w:rPr>
            </w:pPr>
            <w:r w:rsidRPr="006C3FBE">
              <w:rPr>
                <w:rFonts w:cs="Arial"/>
                <w:color w:val="000000"/>
              </w:rPr>
              <w:t>Mean</w:t>
            </w:r>
          </w:p>
        </w:tc>
        <w:tc>
          <w:tcPr>
            <w:tcW w:w="907" w:type="dxa"/>
          </w:tcPr>
          <w:p w14:paraId="380A2C5B" w14:textId="63580F89" w:rsidR="00FC7C75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8.</w:t>
            </w:r>
            <w:r w:rsidR="001670C7">
              <w:rPr>
                <w:rFonts w:cs="Arial"/>
                <w:b/>
                <w:bCs/>
                <w:color w:val="000000"/>
              </w:rPr>
              <w:t>1</w:t>
            </w:r>
            <w:r>
              <w:rPr>
                <w:rFonts w:cs="Arial"/>
                <w:b/>
                <w:bCs/>
                <w:color w:val="000000"/>
              </w:rPr>
              <w:t>%</w:t>
            </w:r>
          </w:p>
        </w:tc>
        <w:tc>
          <w:tcPr>
            <w:tcW w:w="1171" w:type="dxa"/>
          </w:tcPr>
          <w:p w14:paraId="79546DA8" w14:textId="23A9CAB8" w:rsidR="00FC7C75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+</w:t>
            </w:r>
            <w:r w:rsidR="001670C7">
              <w:rPr>
                <w:rFonts w:cs="Arial"/>
                <w:b/>
                <w:bCs/>
                <w:color w:val="000000"/>
              </w:rPr>
              <w:t>2</w:t>
            </w:r>
            <w:r>
              <w:rPr>
                <w:rFonts w:cs="Arial"/>
                <w:b/>
                <w:bCs/>
                <w:color w:val="000000"/>
              </w:rPr>
              <w:t>.</w:t>
            </w:r>
            <w:r w:rsidR="001670C7">
              <w:rPr>
                <w:rFonts w:cs="Arial"/>
                <w:b/>
                <w:bCs/>
                <w:color w:val="000000"/>
              </w:rPr>
              <w:t>8</w:t>
            </w:r>
            <w:r>
              <w:rPr>
                <w:rFonts w:cs="Arial"/>
                <w:b/>
                <w:bCs/>
                <w:color w:val="000000"/>
              </w:rPr>
              <w:t>%</w:t>
            </w:r>
          </w:p>
        </w:tc>
        <w:tc>
          <w:tcPr>
            <w:tcW w:w="858" w:type="dxa"/>
          </w:tcPr>
          <w:p w14:paraId="5244DC47" w14:textId="1EF8560E" w:rsidR="00FC7C75" w:rsidRPr="00FC7C75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FC7C75">
              <w:rPr>
                <w:rFonts w:cs="Arial"/>
                <w:color w:val="000000"/>
              </w:rPr>
              <w:t>5.3%</w:t>
            </w:r>
          </w:p>
        </w:tc>
        <w:tc>
          <w:tcPr>
            <w:tcW w:w="881" w:type="dxa"/>
          </w:tcPr>
          <w:p w14:paraId="26C13338" w14:textId="73581827" w:rsidR="00FC7C75" w:rsidRPr="006337F2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6337F2">
              <w:rPr>
                <w:rFonts w:cs="Arial"/>
                <w:color w:val="000000"/>
              </w:rPr>
              <w:t>7.8%</w:t>
            </w:r>
          </w:p>
        </w:tc>
        <w:tc>
          <w:tcPr>
            <w:tcW w:w="881" w:type="dxa"/>
          </w:tcPr>
          <w:p w14:paraId="0410457E" w14:textId="48BA1B96" w:rsidR="00FC7C75" w:rsidRPr="00130B74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130B74">
              <w:rPr>
                <w:rFonts w:cs="Arial"/>
                <w:color w:val="000000"/>
              </w:rPr>
              <w:t>6.6%</w:t>
            </w:r>
          </w:p>
        </w:tc>
        <w:tc>
          <w:tcPr>
            <w:tcW w:w="881" w:type="dxa"/>
          </w:tcPr>
          <w:p w14:paraId="4C1CE3C3" w14:textId="7FCC7006" w:rsidR="00FC7C75" w:rsidRPr="00AF2932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F2932">
              <w:rPr>
                <w:rFonts w:cs="Arial"/>
                <w:color w:val="000000"/>
              </w:rPr>
              <w:t>7.4%</w:t>
            </w:r>
          </w:p>
        </w:tc>
        <w:tc>
          <w:tcPr>
            <w:tcW w:w="960" w:type="dxa"/>
            <w:noWrap/>
            <w:hideMark/>
          </w:tcPr>
          <w:p w14:paraId="08DB288D" w14:textId="079DCF0D" w:rsidR="00FC7C75" w:rsidRPr="00AF2932" w:rsidRDefault="00FC7C75" w:rsidP="008D47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AF2932">
              <w:rPr>
                <w:rFonts w:cs="Arial"/>
                <w:color w:val="000000"/>
              </w:rPr>
              <w:t>8.0%</w:t>
            </w:r>
          </w:p>
        </w:tc>
      </w:tr>
    </w:tbl>
    <w:p w14:paraId="29FE4B4A" w14:textId="6ECA1830" w:rsidR="00F354DC" w:rsidRDefault="00F354DC" w:rsidP="00A56B6E">
      <w:pPr>
        <w:spacing w:line="276" w:lineRule="auto"/>
        <w:jc w:val="both"/>
        <w:rPr>
          <w:rFonts w:cs="Arial"/>
        </w:rPr>
      </w:pPr>
    </w:p>
    <w:p w14:paraId="70D4BB38" w14:textId="03AA024D" w:rsidR="002116BD" w:rsidRDefault="006C3FBE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The median ratio </w:t>
      </w:r>
      <w:r w:rsidR="004649CB">
        <w:rPr>
          <w:rFonts w:cs="Arial"/>
        </w:rPr>
        <w:t xml:space="preserve">has </w:t>
      </w:r>
      <w:r w:rsidR="00FC7C75">
        <w:rPr>
          <w:rFonts w:cs="Arial"/>
        </w:rPr>
        <w:t>decreased</w:t>
      </w:r>
      <w:r w:rsidR="006337F2">
        <w:rPr>
          <w:rFonts w:cs="Arial"/>
        </w:rPr>
        <w:t xml:space="preserve"> marginally</w:t>
      </w:r>
      <w:r w:rsidR="004649CB">
        <w:rPr>
          <w:rFonts w:cs="Arial"/>
        </w:rPr>
        <w:t xml:space="preserve"> </w:t>
      </w:r>
      <w:r w:rsidR="001E13E6">
        <w:rPr>
          <w:rFonts w:cs="Arial"/>
        </w:rPr>
        <w:t>relative to 20</w:t>
      </w:r>
      <w:r w:rsidR="006337F2">
        <w:rPr>
          <w:rFonts w:cs="Arial"/>
        </w:rPr>
        <w:t>20</w:t>
      </w:r>
      <w:r>
        <w:rPr>
          <w:rFonts w:cs="Arial"/>
        </w:rPr>
        <w:t xml:space="preserve">, while the </w:t>
      </w:r>
      <w:r w:rsidR="00CC0683">
        <w:rPr>
          <w:rFonts w:cs="Arial"/>
        </w:rPr>
        <w:t xml:space="preserve">gender pay </w:t>
      </w:r>
      <w:r w:rsidR="0086494B">
        <w:rPr>
          <w:rFonts w:cs="Arial"/>
        </w:rPr>
        <w:t xml:space="preserve">gap as measured by the </w:t>
      </w:r>
      <w:r>
        <w:rPr>
          <w:rFonts w:cs="Arial"/>
        </w:rPr>
        <w:t xml:space="preserve">mean has </w:t>
      </w:r>
      <w:r w:rsidR="00FC7C75">
        <w:rPr>
          <w:rFonts w:cs="Arial"/>
        </w:rPr>
        <w:t>increased</w:t>
      </w:r>
      <w:r w:rsidR="00350BDE">
        <w:rPr>
          <w:rFonts w:cs="Arial"/>
        </w:rPr>
        <w:t xml:space="preserve"> </w:t>
      </w:r>
      <w:r w:rsidR="00F55EB5">
        <w:rPr>
          <w:rFonts w:cs="Arial"/>
        </w:rPr>
        <w:t>significantly</w:t>
      </w:r>
      <w:r w:rsidR="00C4682E">
        <w:rPr>
          <w:rFonts w:cs="Arial"/>
        </w:rPr>
        <w:t>.</w:t>
      </w:r>
      <w:r w:rsidR="00FC7C75">
        <w:rPr>
          <w:rFonts w:cs="Arial"/>
        </w:rPr>
        <w:t xml:space="preserve"> The increase </w:t>
      </w:r>
      <w:r w:rsidR="005C0532">
        <w:rPr>
          <w:rFonts w:cs="Arial"/>
        </w:rPr>
        <w:t>relates</w:t>
      </w:r>
      <w:r w:rsidR="00FC7C75">
        <w:rPr>
          <w:rFonts w:cs="Arial"/>
        </w:rPr>
        <w:t xml:space="preserve"> to the inclusion of </w:t>
      </w:r>
      <w:r w:rsidR="008356A7">
        <w:rPr>
          <w:rFonts w:cs="Arial"/>
        </w:rPr>
        <w:t>several</w:t>
      </w:r>
      <w:r w:rsidR="00FC7C75">
        <w:rPr>
          <w:rFonts w:cs="Arial"/>
        </w:rPr>
        <w:t xml:space="preserve"> senior consultants associated with Leonard Cheshire’s turnaround strategy.</w:t>
      </w:r>
      <w:r w:rsidR="00F43F29">
        <w:rPr>
          <w:rFonts w:cs="Arial"/>
        </w:rPr>
        <w:t xml:space="preserve"> Excluding consultants has no impact on the median pay gap, but </w:t>
      </w:r>
      <w:r w:rsidR="005C0532">
        <w:rPr>
          <w:rFonts w:cs="Arial"/>
        </w:rPr>
        <w:t xml:space="preserve">reduces the </w:t>
      </w:r>
      <w:r w:rsidR="00F43F29">
        <w:rPr>
          <w:rFonts w:cs="Arial"/>
        </w:rPr>
        <w:t>mean from 8.</w:t>
      </w:r>
      <w:r w:rsidR="001670C7">
        <w:rPr>
          <w:rFonts w:cs="Arial"/>
        </w:rPr>
        <w:t>1</w:t>
      </w:r>
      <w:r w:rsidR="00F43F29">
        <w:rPr>
          <w:rFonts w:cs="Arial"/>
        </w:rPr>
        <w:t xml:space="preserve">% to 5.4%, </w:t>
      </w:r>
      <w:r w:rsidR="003E7604">
        <w:rPr>
          <w:rFonts w:cs="Arial"/>
        </w:rPr>
        <w:t xml:space="preserve">bringing the mean </w:t>
      </w:r>
      <w:r w:rsidR="00F43F29">
        <w:rPr>
          <w:rFonts w:cs="Arial"/>
        </w:rPr>
        <w:t xml:space="preserve">broadly in line with the previous year’s </w:t>
      </w:r>
      <w:r w:rsidR="005C0532">
        <w:rPr>
          <w:rFonts w:cs="Arial"/>
        </w:rPr>
        <w:t>figure</w:t>
      </w:r>
      <w:r w:rsidR="00F43F29">
        <w:rPr>
          <w:rFonts w:cs="Arial"/>
        </w:rPr>
        <w:t>.</w:t>
      </w:r>
    </w:p>
    <w:p w14:paraId="4AF8CBD1" w14:textId="77777777" w:rsidR="005604C9" w:rsidRDefault="005604C9" w:rsidP="00A56B6E">
      <w:pPr>
        <w:spacing w:line="276" w:lineRule="auto"/>
        <w:jc w:val="both"/>
        <w:rPr>
          <w:rFonts w:cs="Arial"/>
        </w:rPr>
      </w:pPr>
    </w:p>
    <w:p w14:paraId="6BF0BDCB" w14:textId="32EB5270" w:rsidR="005604C9" w:rsidRDefault="005604C9" w:rsidP="00B009DB">
      <w:pPr>
        <w:keepNext/>
        <w:spacing w:after="120" w:line="276" w:lineRule="auto"/>
        <w:jc w:val="both"/>
        <w:rPr>
          <w:rFonts w:cs="Arial"/>
        </w:rPr>
      </w:pPr>
      <w:r>
        <w:rPr>
          <w:rFonts w:cs="Arial"/>
        </w:rPr>
        <w:t xml:space="preserve">The following </w:t>
      </w:r>
      <w:r w:rsidR="004649CB">
        <w:rPr>
          <w:rFonts w:cs="Arial"/>
        </w:rPr>
        <w:t xml:space="preserve">diagram </w:t>
      </w:r>
      <w:r w:rsidR="00FC7C75">
        <w:rPr>
          <w:rFonts w:cs="Arial"/>
        </w:rPr>
        <w:t>show</w:t>
      </w:r>
      <w:r>
        <w:rPr>
          <w:rFonts w:cs="Arial"/>
        </w:rPr>
        <w:t xml:space="preserve"> the same comparison graphically. </w:t>
      </w:r>
    </w:p>
    <w:p w14:paraId="5605D47C" w14:textId="2C26F846" w:rsidR="00FC7C75" w:rsidRDefault="001670C7" w:rsidP="00B009DB">
      <w:pPr>
        <w:keepNext/>
        <w:spacing w:after="120" w:line="276" w:lineRule="auto"/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62573B" wp14:editId="00640A13">
            <wp:extent cx="6037200" cy="3934800"/>
            <wp:effectExtent l="0" t="0" r="1905" b="8890"/>
            <wp:docPr id="3" name="Picture 3" descr="This graph reflects the Leonard Cheshire median and mean gender pay gap figures over the past six years. It shows the figures in the preceding table in graphic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is graph reflects the Leonard Cheshire median and mean gender pay gap figures over the past six years. It shows the figures in the preceding table in graphic form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00" cy="393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B1B7E" w14:textId="6CD034D8" w:rsidR="00636B82" w:rsidRPr="006313F4" w:rsidRDefault="003B1D06" w:rsidP="00EB4245">
      <w:pPr>
        <w:pStyle w:val="Heading1"/>
      </w:pPr>
      <w:r w:rsidRPr="006313F4">
        <w:t>Proportion of male and female employees</w:t>
      </w:r>
      <w:r w:rsidR="00AC358C">
        <w:t xml:space="preserve"> by quartile group </w:t>
      </w:r>
    </w:p>
    <w:p w14:paraId="287A80CC" w14:textId="5C8D82DD" w:rsidR="00606B61" w:rsidRDefault="00DB71A8" w:rsidP="006313F4">
      <w:pPr>
        <w:spacing w:line="276" w:lineRule="auto"/>
        <w:jc w:val="both"/>
        <w:rPr>
          <w:rFonts w:cs="Arial"/>
        </w:rPr>
      </w:pPr>
      <w:r>
        <w:rPr>
          <w:rFonts w:cs="Arial"/>
        </w:rPr>
        <w:t>I</w:t>
      </w:r>
      <w:r w:rsidR="005638B9" w:rsidRPr="006313F4">
        <w:rPr>
          <w:rFonts w:cs="Arial"/>
        </w:rPr>
        <w:t>n line with</w:t>
      </w:r>
      <w:r w:rsidR="00606B61" w:rsidRPr="006313F4">
        <w:rPr>
          <w:rFonts w:cs="Arial"/>
        </w:rPr>
        <w:t xml:space="preserve"> the social care and charity sectors, </w:t>
      </w:r>
      <w:r w:rsidR="009E48B0">
        <w:rPr>
          <w:rFonts w:cs="Arial"/>
        </w:rPr>
        <w:t>Leonard Cheshire</w:t>
      </w:r>
      <w:r w:rsidR="00606B61" w:rsidRPr="006313F4">
        <w:rPr>
          <w:rFonts w:cs="Arial"/>
        </w:rPr>
        <w:t xml:space="preserve"> employs more women than men, with </w:t>
      </w:r>
      <w:r w:rsidR="005B0740">
        <w:rPr>
          <w:rFonts w:cs="Arial"/>
        </w:rPr>
        <w:t>7</w:t>
      </w:r>
      <w:r w:rsidR="00FC7C75">
        <w:rPr>
          <w:rFonts w:cs="Arial"/>
        </w:rPr>
        <w:t>8</w:t>
      </w:r>
      <w:r w:rsidR="00606B61" w:rsidRPr="006313F4">
        <w:rPr>
          <w:rFonts w:cs="Arial"/>
        </w:rPr>
        <w:t>% of our employees being female, and 2</w:t>
      </w:r>
      <w:r w:rsidR="00FC7C75">
        <w:rPr>
          <w:rFonts w:cs="Arial"/>
        </w:rPr>
        <w:t>2</w:t>
      </w:r>
      <w:r w:rsidR="00606B61" w:rsidRPr="006313F4">
        <w:rPr>
          <w:rFonts w:cs="Arial"/>
        </w:rPr>
        <w:t>% being male.</w:t>
      </w:r>
    </w:p>
    <w:p w14:paraId="246CE026" w14:textId="7FDFC880" w:rsidR="006313F4" w:rsidRDefault="006313F4" w:rsidP="006313F4">
      <w:pPr>
        <w:spacing w:line="276" w:lineRule="auto"/>
        <w:jc w:val="both"/>
        <w:rPr>
          <w:rFonts w:cs="Arial"/>
        </w:rPr>
      </w:pPr>
    </w:p>
    <w:p w14:paraId="2AFBCD27" w14:textId="453FB01A" w:rsidR="00D07F5D" w:rsidRDefault="00D6518F" w:rsidP="00D07F5D">
      <w:pPr>
        <w:spacing w:line="276" w:lineRule="auto"/>
        <w:jc w:val="both"/>
        <w:rPr>
          <w:rFonts w:cs="Arial"/>
        </w:rPr>
      </w:pPr>
      <w:r>
        <w:rPr>
          <w:rFonts w:cs="Arial"/>
        </w:rPr>
        <w:t>In the table</w:t>
      </w:r>
      <w:r w:rsidR="006337F2">
        <w:rPr>
          <w:rFonts w:cs="Arial"/>
        </w:rPr>
        <w:t xml:space="preserve"> below</w:t>
      </w:r>
      <w:r w:rsidR="00EA7E6D">
        <w:rPr>
          <w:rFonts w:cs="Arial"/>
        </w:rPr>
        <w:t>,</w:t>
      </w:r>
      <w:r>
        <w:rPr>
          <w:rFonts w:cs="Arial"/>
        </w:rPr>
        <w:t xml:space="preserve"> we have divided</w:t>
      </w:r>
      <w:r w:rsidR="00DB71A8">
        <w:rPr>
          <w:rFonts w:cs="Arial"/>
        </w:rPr>
        <w:t xml:space="preserve"> </w:t>
      </w:r>
      <w:r>
        <w:rPr>
          <w:rFonts w:cs="Arial"/>
        </w:rPr>
        <w:t xml:space="preserve">our </w:t>
      </w:r>
      <w:r w:rsidR="00DB71A8">
        <w:rPr>
          <w:rFonts w:cs="Arial"/>
        </w:rPr>
        <w:t>workforce</w:t>
      </w:r>
      <w:r w:rsidR="00CC6EEA" w:rsidRPr="00CC6EEA">
        <w:rPr>
          <w:rFonts w:cs="Arial"/>
        </w:rPr>
        <w:t xml:space="preserve"> into four </w:t>
      </w:r>
      <w:r w:rsidR="00EE565A">
        <w:rPr>
          <w:rFonts w:cs="Arial"/>
        </w:rPr>
        <w:t xml:space="preserve">equal </w:t>
      </w:r>
      <w:r w:rsidR="00CC6EEA" w:rsidRPr="00CC6EEA">
        <w:rPr>
          <w:rFonts w:cs="Arial"/>
        </w:rPr>
        <w:t xml:space="preserve">groups ordered from </w:t>
      </w:r>
      <w:r w:rsidR="00EA7E6D">
        <w:rPr>
          <w:rFonts w:cs="Arial"/>
        </w:rPr>
        <w:t>lowest to highest paid.</w:t>
      </w:r>
      <w:r w:rsidR="00271862">
        <w:rPr>
          <w:rFonts w:cs="Arial"/>
        </w:rPr>
        <w:t xml:space="preserve"> </w:t>
      </w:r>
      <w:r>
        <w:rPr>
          <w:rFonts w:cs="Arial"/>
        </w:rPr>
        <w:t>T</w:t>
      </w:r>
      <w:r w:rsidR="00D07F5D" w:rsidRPr="006313F4">
        <w:rPr>
          <w:rFonts w:cs="Arial"/>
        </w:rPr>
        <w:t xml:space="preserve">his </w:t>
      </w:r>
      <w:r>
        <w:rPr>
          <w:rFonts w:cs="Arial"/>
        </w:rPr>
        <w:t xml:space="preserve">shows that our female staff are </w:t>
      </w:r>
      <w:r w:rsidR="007D4A41">
        <w:rPr>
          <w:rFonts w:cs="Arial"/>
        </w:rPr>
        <w:t>distributed</w:t>
      </w:r>
      <w:r>
        <w:rPr>
          <w:rFonts w:cs="Arial"/>
        </w:rPr>
        <w:t xml:space="preserve"> across </w:t>
      </w:r>
      <w:r w:rsidR="005B0740">
        <w:rPr>
          <w:rFonts w:cs="Arial"/>
        </w:rPr>
        <w:t xml:space="preserve">each of </w:t>
      </w:r>
      <w:r>
        <w:rPr>
          <w:rFonts w:cs="Arial"/>
        </w:rPr>
        <w:t xml:space="preserve">these groups in a way that </w:t>
      </w:r>
      <w:r w:rsidR="000556D6">
        <w:rPr>
          <w:rFonts w:cs="Arial"/>
        </w:rPr>
        <w:t>generally</w:t>
      </w:r>
      <w:r w:rsidR="00EA7E6D">
        <w:rPr>
          <w:rFonts w:cs="Arial"/>
        </w:rPr>
        <w:t xml:space="preserve"> </w:t>
      </w:r>
      <w:r>
        <w:rPr>
          <w:rFonts w:cs="Arial"/>
        </w:rPr>
        <w:t xml:space="preserve">reflects the </w:t>
      </w:r>
      <w:r w:rsidR="00EA7E6D">
        <w:rPr>
          <w:rFonts w:cs="Arial"/>
        </w:rPr>
        <w:t>ratio of female and female staff across the</w:t>
      </w:r>
      <w:r w:rsidR="00AC358C">
        <w:rPr>
          <w:rFonts w:cs="Arial"/>
        </w:rPr>
        <w:t xml:space="preserve"> whole</w:t>
      </w:r>
      <w:r w:rsidR="00EA7E6D">
        <w:rPr>
          <w:rFonts w:cs="Arial"/>
        </w:rPr>
        <w:t xml:space="preserve"> organisation.</w:t>
      </w:r>
    </w:p>
    <w:p w14:paraId="3B0285F2" w14:textId="77777777" w:rsidR="009A5BFF" w:rsidRDefault="009A5BFF" w:rsidP="00D07F5D">
      <w:pPr>
        <w:keepNext/>
        <w:spacing w:line="276" w:lineRule="auto"/>
        <w:jc w:val="both"/>
        <w:rPr>
          <w:rFonts w:cs="Arial"/>
        </w:rPr>
      </w:pPr>
    </w:p>
    <w:p w14:paraId="471BC744" w14:textId="7D86E4C0" w:rsidR="006313F4" w:rsidRDefault="00D07F5D" w:rsidP="005604C9">
      <w:pPr>
        <w:keepNext/>
        <w:spacing w:after="120" w:line="276" w:lineRule="auto"/>
        <w:jc w:val="both"/>
        <w:rPr>
          <w:rFonts w:cs="Arial"/>
        </w:rPr>
      </w:pPr>
      <w:r>
        <w:rPr>
          <w:rFonts w:cs="Arial"/>
        </w:rPr>
        <w:t>T</w:t>
      </w:r>
      <w:r w:rsidR="00DB71A8">
        <w:rPr>
          <w:rFonts w:cs="Arial"/>
        </w:rPr>
        <w:t xml:space="preserve">he </w:t>
      </w:r>
      <w:r w:rsidR="00DB71A8" w:rsidRPr="00CC6EEA">
        <w:rPr>
          <w:rFonts w:cs="Arial"/>
        </w:rPr>
        <w:t>proportion of male and female</w:t>
      </w:r>
      <w:r w:rsidR="00DB71A8">
        <w:rPr>
          <w:rFonts w:cs="Arial"/>
        </w:rPr>
        <w:t xml:space="preserve"> employees in Leonard Cheshire </w:t>
      </w:r>
      <w:r w:rsidR="00613E50">
        <w:rPr>
          <w:rFonts w:cs="Arial"/>
        </w:rPr>
        <w:t>in</w:t>
      </w:r>
      <w:r w:rsidR="00DB71A8">
        <w:rPr>
          <w:rFonts w:cs="Arial"/>
        </w:rPr>
        <w:t xml:space="preserve"> each of the quartiles is as follows</w:t>
      </w:r>
      <w:r w:rsidR="00CC6EEA">
        <w:rPr>
          <w:rFonts w:cs="Arial"/>
        </w:rPr>
        <w:t>:</w:t>
      </w:r>
    </w:p>
    <w:tbl>
      <w:tblPr>
        <w:tblStyle w:val="GridTable1Light"/>
        <w:tblW w:w="4119" w:type="dxa"/>
        <w:tblLook w:val="04A0" w:firstRow="1" w:lastRow="0" w:firstColumn="1" w:lastColumn="0" w:noHBand="0" w:noVBand="1"/>
      </w:tblPr>
      <w:tblGrid>
        <w:gridCol w:w="2014"/>
        <w:gridCol w:w="1044"/>
        <w:gridCol w:w="1096"/>
      </w:tblGrid>
      <w:tr w:rsidR="00CC6EEA" w:rsidRPr="009E33B6" w14:paraId="3129B5CC" w14:textId="77777777" w:rsidTr="007D0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noWrap/>
            <w:hideMark/>
          </w:tcPr>
          <w:p w14:paraId="0B15015D" w14:textId="25DA92EF" w:rsidR="00CC6EEA" w:rsidRPr="009E33B6" w:rsidRDefault="00AC358C" w:rsidP="00CC6EEA">
            <w:pPr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color w:val="000000"/>
              </w:rPr>
              <w:t>Quartile groups</w:t>
            </w:r>
          </w:p>
        </w:tc>
        <w:tc>
          <w:tcPr>
            <w:tcW w:w="1009" w:type="dxa"/>
            <w:noWrap/>
            <w:hideMark/>
          </w:tcPr>
          <w:p w14:paraId="6F469414" w14:textId="77777777" w:rsidR="00CC6EEA" w:rsidRPr="009E33B6" w:rsidRDefault="00CC6EEA" w:rsidP="00CC6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color w:val="000000"/>
              </w:rPr>
              <w:t>Female</w:t>
            </w:r>
          </w:p>
        </w:tc>
        <w:tc>
          <w:tcPr>
            <w:tcW w:w="1096" w:type="dxa"/>
            <w:noWrap/>
            <w:hideMark/>
          </w:tcPr>
          <w:p w14:paraId="01ABA6C6" w14:textId="77777777" w:rsidR="00CC6EEA" w:rsidRPr="009E33B6" w:rsidRDefault="00CC6EEA" w:rsidP="00CC6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color w:val="000000"/>
              </w:rPr>
              <w:t>Male</w:t>
            </w:r>
          </w:p>
        </w:tc>
      </w:tr>
      <w:tr w:rsidR="00CC6EEA" w:rsidRPr="009E33B6" w14:paraId="445C629A" w14:textId="77777777" w:rsidTr="007D05C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noWrap/>
            <w:hideMark/>
          </w:tcPr>
          <w:p w14:paraId="283031F9" w14:textId="778BD900" w:rsidR="00CC6EEA" w:rsidRPr="009E33B6" w:rsidRDefault="00B92E0E" w:rsidP="00CC6EEA">
            <w:pPr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b w:val="0"/>
                <w:bCs w:val="0"/>
                <w:color w:val="000000"/>
              </w:rPr>
              <w:t>Lower</w:t>
            </w:r>
          </w:p>
        </w:tc>
        <w:tc>
          <w:tcPr>
            <w:tcW w:w="1009" w:type="dxa"/>
            <w:noWrap/>
            <w:hideMark/>
          </w:tcPr>
          <w:p w14:paraId="623B520E" w14:textId="70450050" w:rsidR="00CC6EEA" w:rsidRPr="009E33B6" w:rsidRDefault="000556D6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7</w:t>
            </w:r>
            <w:r w:rsidR="00FC7C75">
              <w:rPr>
                <w:rFonts w:cs="Arial"/>
                <w:bCs/>
                <w:color w:val="000000"/>
              </w:rPr>
              <w:t>9</w:t>
            </w:r>
            <w:r w:rsidR="00CC6EEA" w:rsidRPr="009E33B6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96" w:type="dxa"/>
            <w:noWrap/>
            <w:hideMark/>
          </w:tcPr>
          <w:p w14:paraId="18C7CEFC" w14:textId="3B3A2140" w:rsidR="00CC6EEA" w:rsidRPr="009E33B6" w:rsidRDefault="00CC6EEA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2</w:t>
            </w:r>
            <w:r w:rsidR="00FC7C75">
              <w:rPr>
                <w:rFonts w:cs="Arial"/>
                <w:bCs/>
                <w:color w:val="000000"/>
              </w:rPr>
              <w:t>1</w:t>
            </w:r>
            <w:r w:rsidRPr="009E33B6">
              <w:rPr>
                <w:rFonts w:cs="Arial"/>
                <w:bCs/>
                <w:color w:val="000000"/>
              </w:rPr>
              <w:t>%</w:t>
            </w:r>
          </w:p>
        </w:tc>
      </w:tr>
      <w:tr w:rsidR="00CC6EEA" w:rsidRPr="009E33B6" w14:paraId="5BE9E2C0" w14:textId="77777777" w:rsidTr="007D05C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noWrap/>
            <w:hideMark/>
          </w:tcPr>
          <w:p w14:paraId="273F8B9C" w14:textId="03E69E9B" w:rsidR="00CC6EEA" w:rsidRPr="009E33B6" w:rsidRDefault="00B92E0E" w:rsidP="00CC6EEA">
            <w:pPr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b w:val="0"/>
                <w:bCs w:val="0"/>
                <w:color w:val="000000"/>
              </w:rPr>
              <w:t>Lower middle</w:t>
            </w:r>
          </w:p>
        </w:tc>
        <w:tc>
          <w:tcPr>
            <w:tcW w:w="1009" w:type="dxa"/>
            <w:noWrap/>
            <w:hideMark/>
          </w:tcPr>
          <w:p w14:paraId="427EF09D" w14:textId="502C6378" w:rsidR="00CC6EEA" w:rsidRPr="009E33B6" w:rsidRDefault="004649CB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7</w:t>
            </w:r>
            <w:r w:rsidR="00FC7C75">
              <w:rPr>
                <w:rFonts w:cs="Arial"/>
                <w:bCs/>
                <w:color w:val="000000"/>
              </w:rPr>
              <w:t>6</w:t>
            </w:r>
            <w:r w:rsidR="00CC6EEA" w:rsidRPr="009E33B6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96" w:type="dxa"/>
            <w:noWrap/>
            <w:hideMark/>
          </w:tcPr>
          <w:p w14:paraId="1AE19A51" w14:textId="2425B021" w:rsidR="00CC6EEA" w:rsidRPr="009E33B6" w:rsidRDefault="004649CB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2</w:t>
            </w:r>
            <w:r w:rsidR="00FC7C75">
              <w:rPr>
                <w:rFonts w:cs="Arial"/>
                <w:bCs/>
                <w:color w:val="000000"/>
              </w:rPr>
              <w:t>4</w:t>
            </w:r>
            <w:r w:rsidR="00CC6EEA" w:rsidRPr="009E33B6">
              <w:rPr>
                <w:rFonts w:cs="Arial"/>
                <w:bCs/>
                <w:color w:val="000000"/>
              </w:rPr>
              <w:t>%</w:t>
            </w:r>
          </w:p>
        </w:tc>
      </w:tr>
      <w:tr w:rsidR="004649CB" w:rsidRPr="009E33B6" w14:paraId="23BCFBD4" w14:textId="77777777" w:rsidTr="007D05C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noWrap/>
            <w:hideMark/>
          </w:tcPr>
          <w:p w14:paraId="36ACCAF9" w14:textId="0BD7CFEC" w:rsidR="004649CB" w:rsidRPr="009E33B6" w:rsidRDefault="004649CB" w:rsidP="004649CB">
            <w:pPr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b w:val="0"/>
                <w:bCs w:val="0"/>
                <w:color w:val="000000"/>
              </w:rPr>
              <w:t>Upper middle</w:t>
            </w:r>
          </w:p>
        </w:tc>
        <w:tc>
          <w:tcPr>
            <w:tcW w:w="1009" w:type="dxa"/>
            <w:noWrap/>
            <w:hideMark/>
          </w:tcPr>
          <w:p w14:paraId="6A26C194" w14:textId="171BFEE9" w:rsidR="004649CB" w:rsidRPr="009E33B6" w:rsidRDefault="004649CB" w:rsidP="00464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7</w:t>
            </w:r>
            <w:r w:rsidR="00FC7C75">
              <w:rPr>
                <w:rFonts w:cs="Arial"/>
                <w:bCs/>
                <w:color w:val="000000"/>
              </w:rPr>
              <w:t>8</w:t>
            </w:r>
            <w:r w:rsidRPr="009E33B6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96" w:type="dxa"/>
            <w:noWrap/>
            <w:hideMark/>
          </w:tcPr>
          <w:p w14:paraId="6BDD4C17" w14:textId="5DF36F33" w:rsidR="004649CB" w:rsidRPr="009E33B6" w:rsidRDefault="004649CB" w:rsidP="00464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2</w:t>
            </w:r>
            <w:r w:rsidR="00FC7C75">
              <w:rPr>
                <w:rFonts w:cs="Arial"/>
                <w:bCs/>
                <w:color w:val="000000"/>
              </w:rPr>
              <w:t>2</w:t>
            </w:r>
            <w:r w:rsidRPr="009E33B6">
              <w:rPr>
                <w:rFonts w:cs="Arial"/>
                <w:bCs/>
                <w:color w:val="000000"/>
              </w:rPr>
              <w:t>%</w:t>
            </w:r>
          </w:p>
        </w:tc>
      </w:tr>
      <w:tr w:rsidR="00CC6EEA" w:rsidRPr="009E33B6" w14:paraId="7F82B1B7" w14:textId="77777777" w:rsidTr="007D05C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noWrap/>
            <w:hideMark/>
          </w:tcPr>
          <w:p w14:paraId="2415B608" w14:textId="57276BFE" w:rsidR="00CC6EEA" w:rsidRPr="009E33B6" w:rsidRDefault="00B92E0E" w:rsidP="00CC6EEA">
            <w:pPr>
              <w:rPr>
                <w:rFonts w:cs="Arial"/>
                <w:b w:val="0"/>
                <w:bCs w:val="0"/>
                <w:color w:val="000000"/>
              </w:rPr>
            </w:pPr>
            <w:r w:rsidRPr="009E33B6">
              <w:rPr>
                <w:rFonts w:cs="Arial"/>
                <w:b w:val="0"/>
                <w:bCs w:val="0"/>
                <w:color w:val="000000"/>
              </w:rPr>
              <w:t>Upper</w:t>
            </w:r>
          </w:p>
        </w:tc>
        <w:tc>
          <w:tcPr>
            <w:tcW w:w="1009" w:type="dxa"/>
            <w:noWrap/>
            <w:hideMark/>
          </w:tcPr>
          <w:p w14:paraId="510BD405" w14:textId="4D669184" w:rsidR="00CC6EEA" w:rsidRPr="009E33B6" w:rsidRDefault="00CC6EEA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7</w:t>
            </w:r>
            <w:r w:rsidR="00FC7C75">
              <w:rPr>
                <w:rFonts w:cs="Arial"/>
                <w:bCs/>
                <w:color w:val="000000"/>
              </w:rPr>
              <w:t>8</w:t>
            </w:r>
            <w:r w:rsidRPr="009E33B6">
              <w:rPr>
                <w:rFonts w:cs="Arial"/>
                <w:bCs/>
                <w:color w:val="000000"/>
              </w:rPr>
              <w:t>%</w:t>
            </w:r>
          </w:p>
        </w:tc>
        <w:tc>
          <w:tcPr>
            <w:tcW w:w="1096" w:type="dxa"/>
            <w:noWrap/>
            <w:hideMark/>
          </w:tcPr>
          <w:p w14:paraId="4DD1AA65" w14:textId="798F49CA" w:rsidR="00CC6EEA" w:rsidRPr="009E33B6" w:rsidRDefault="00CC6EEA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000000"/>
              </w:rPr>
            </w:pPr>
            <w:r w:rsidRPr="009E33B6">
              <w:rPr>
                <w:rFonts w:cs="Arial"/>
                <w:bCs/>
                <w:color w:val="000000"/>
              </w:rPr>
              <w:t>2</w:t>
            </w:r>
            <w:r w:rsidR="00FC7C75">
              <w:rPr>
                <w:rFonts w:cs="Arial"/>
                <w:bCs/>
                <w:color w:val="000000"/>
              </w:rPr>
              <w:t>2</w:t>
            </w:r>
            <w:r w:rsidRPr="009E33B6">
              <w:rPr>
                <w:rFonts w:cs="Arial"/>
                <w:bCs/>
                <w:color w:val="000000"/>
              </w:rPr>
              <w:t>%</w:t>
            </w:r>
          </w:p>
        </w:tc>
      </w:tr>
      <w:tr w:rsidR="00CC6EEA" w:rsidRPr="009E33B6" w14:paraId="5963879E" w14:textId="77777777" w:rsidTr="007D05CA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noWrap/>
            <w:hideMark/>
          </w:tcPr>
          <w:p w14:paraId="53E8AF31" w14:textId="01ED4228" w:rsidR="00CC6EEA" w:rsidRPr="009E33B6" w:rsidRDefault="00B92E0E" w:rsidP="00CC6EEA">
            <w:pPr>
              <w:rPr>
                <w:rFonts w:cs="Arial"/>
                <w:color w:val="000000"/>
              </w:rPr>
            </w:pPr>
            <w:r w:rsidRPr="009E33B6">
              <w:rPr>
                <w:rFonts w:cs="Arial"/>
                <w:color w:val="000000"/>
              </w:rPr>
              <w:t>All</w:t>
            </w:r>
          </w:p>
        </w:tc>
        <w:tc>
          <w:tcPr>
            <w:tcW w:w="1009" w:type="dxa"/>
            <w:noWrap/>
            <w:hideMark/>
          </w:tcPr>
          <w:p w14:paraId="1CBFD81D" w14:textId="144D8E6A" w:rsidR="00CC6EEA" w:rsidRPr="009E33B6" w:rsidRDefault="004649CB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9E33B6">
              <w:rPr>
                <w:rFonts w:cs="Arial"/>
                <w:b/>
                <w:bCs/>
                <w:color w:val="000000"/>
              </w:rPr>
              <w:t>7</w:t>
            </w:r>
            <w:r w:rsidR="00EB4245" w:rsidRPr="009E33B6">
              <w:rPr>
                <w:rFonts w:cs="Arial"/>
                <w:b/>
                <w:bCs/>
                <w:color w:val="000000"/>
              </w:rPr>
              <w:t>8</w:t>
            </w:r>
            <w:r w:rsidR="00CC6EEA" w:rsidRPr="009E33B6">
              <w:rPr>
                <w:rFonts w:cs="Arial"/>
                <w:b/>
                <w:bCs/>
                <w:color w:val="000000"/>
              </w:rPr>
              <w:t>%</w:t>
            </w:r>
          </w:p>
        </w:tc>
        <w:tc>
          <w:tcPr>
            <w:tcW w:w="1096" w:type="dxa"/>
            <w:noWrap/>
            <w:hideMark/>
          </w:tcPr>
          <w:p w14:paraId="06D2A07D" w14:textId="5702D901" w:rsidR="00CC6EEA" w:rsidRPr="009E33B6" w:rsidRDefault="00CC6EEA" w:rsidP="00CC6E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  <w:r w:rsidRPr="009E33B6">
              <w:rPr>
                <w:rFonts w:cs="Arial"/>
                <w:b/>
                <w:bCs/>
                <w:color w:val="000000"/>
              </w:rPr>
              <w:t>2</w:t>
            </w:r>
            <w:r w:rsidR="00EB4245" w:rsidRPr="009E33B6">
              <w:rPr>
                <w:rFonts w:cs="Arial"/>
                <w:b/>
                <w:bCs/>
                <w:color w:val="000000"/>
              </w:rPr>
              <w:t>2</w:t>
            </w:r>
            <w:r w:rsidRPr="009E33B6">
              <w:rPr>
                <w:rFonts w:cs="Arial"/>
                <w:b/>
                <w:bCs/>
                <w:color w:val="000000"/>
              </w:rPr>
              <w:t>%</w:t>
            </w:r>
          </w:p>
        </w:tc>
      </w:tr>
    </w:tbl>
    <w:p w14:paraId="7EABEBA5" w14:textId="77777777" w:rsidR="00606B61" w:rsidRPr="006313F4" w:rsidRDefault="00606B61" w:rsidP="00606B61">
      <w:pPr>
        <w:keepNext/>
        <w:spacing w:line="276" w:lineRule="auto"/>
        <w:jc w:val="both"/>
        <w:rPr>
          <w:rFonts w:cs="Arial"/>
        </w:rPr>
      </w:pPr>
    </w:p>
    <w:p w14:paraId="32F27825" w14:textId="05103EFC" w:rsidR="00CC6EEA" w:rsidRDefault="00606B61" w:rsidP="00606B61">
      <w:pPr>
        <w:keepNext/>
        <w:spacing w:line="276" w:lineRule="auto"/>
        <w:jc w:val="both"/>
        <w:rPr>
          <w:rFonts w:cs="Arial"/>
        </w:rPr>
      </w:pPr>
      <w:r w:rsidRPr="006313F4">
        <w:rPr>
          <w:rFonts w:cs="Arial"/>
        </w:rPr>
        <w:t>The</w:t>
      </w:r>
      <w:r w:rsidR="00636B82" w:rsidRPr="006313F4">
        <w:rPr>
          <w:rFonts w:cs="Arial"/>
        </w:rPr>
        <w:t xml:space="preserve"> chart</w:t>
      </w:r>
      <w:r w:rsidRPr="006313F4">
        <w:rPr>
          <w:rFonts w:cs="Arial"/>
        </w:rPr>
        <w:t xml:space="preserve"> below</w:t>
      </w:r>
      <w:r w:rsidR="00636B82" w:rsidRPr="006313F4">
        <w:rPr>
          <w:rFonts w:cs="Arial"/>
        </w:rPr>
        <w:t xml:space="preserve"> show</w:t>
      </w:r>
      <w:r w:rsidR="00CC6EEA">
        <w:rPr>
          <w:rFonts w:cs="Arial"/>
        </w:rPr>
        <w:t xml:space="preserve">s the same quartile </w:t>
      </w:r>
      <w:r w:rsidR="003B2A45">
        <w:rPr>
          <w:rFonts w:cs="Arial"/>
        </w:rPr>
        <w:t xml:space="preserve">gender </w:t>
      </w:r>
      <w:r w:rsidR="00CC6EEA">
        <w:rPr>
          <w:rFonts w:cs="Arial"/>
        </w:rPr>
        <w:t>splits</w:t>
      </w:r>
      <w:r w:rsidR="006A1D7C">
        <w:rPr>
          <w:rFonts w:cs="Arial"/>
        </w:rPr>
        <w:t>:</w:t>
      </w:r>
    </w:p>
    <w:p w14:paraId="47E44198" w14:textId="3DE561E6" w:rsidR="00AC6118" w:rsidRPr="006313F4" w:rsidRDefault="00FC7C75" w:rsidP="00606B61">
      <w:pPr>
        <w:keepNext/>
        <w:spacing w:line="276" w:lineRule="auto"/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C96E4FF" wp14:editId="1C5F4032">
            <wp:extent cx="6048000" cy="3942000"/>
            <wp:effectExtent l="0" t="0" r="0" b="1905"/>
            <wp:docPr id="8" name="Picture 8" descr="This graph shows the split of Leonard Cheshire employee between male and female employees by quartile group. It represents the figures in the preceding table in graphic 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is graph shows the split of Leonard Cheshire employee between male and female employees by quartile group. It represents the figures in the preceding table in graphic for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394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56DD3" w14:textId="77777777" w:rsidR="00606B61" w:rsidRPr="006313F4" w:rsidRDefault="00F354DC" w:rsidP="004E5970">
      <w:pPr>
        <w:pStyle w:val="Heading1"/>
      </w:pPr>
      <w:r w:rsidRPr="006313F4">
        <w:t xml:space="preserve">Findings </w:t>
      </w:r>
      <w:r w:rsidR="003B1D06" w:rsidRPr="006313F4">
        <w:t>from</w:t>
      </w:r>
      <w:r w:rsidRPr="006313F4">
        <w:t xml:space="preserve"> our gender pay gap</w:t>
      </w:r>
      <w:r w:rsidR="00857B98" w:rsidRPr="006313F4">
        <w:t xml:space="preserve"> </w:t>
      </w:r>
      <w:proofErr w:type="gramStart"/>
      <w:r w:rsidR="00857B98" w:rsidRPr="006313F4">
        <w:t>analysis</w:t>
      </w:r>
      <w:proofErr w:type="gramEnd"/>
    </w:p>
    <w:p w14:paraId="32FE25D9" w14:textId="25E17724" w:rsidR="003F77EC" w:rsidRDefault="00EA7E6D" w:rsidP="00F354DC">
      <w:pPr>
        <w:spacing w:line="276" w:lineRule="auto"/>
        <w:jc w:val="both"/>
        <w:rPr>
          <w:rFonts w:cs="Arial"/>
        </w:rPr>
      </w:pPr>
      <w:r>
        <w:rPr>
          <w:rFonts w:cs="Arial"/>
        </w:rPr>
        <w:t>A</w:t>
      </w:r>
      <w:r w:rsidR="00F354DC" w:rsidRPr="006313F4">
        <w:rPr>
          <w:rFonts w:cs="Arial"/>
        </w:rPr>
        <w:t xml:space="preserve">round </w:t>
      </w:r>
      <w:r w:rsidR="00F43F29">
        <w:rPr>
          <w:rFonts w:cs="Arial"/>
        </w:rPr>
        <w:t>90</w:t>
      </w:r>
      <w:r w:rsidR="00F354DC" w:rsidRPr="006313F4">
        <w:rPr>
          <w:rFonts w:cs="Arial"/>
        </w:rPr>
        <w:t>% of our employees are hourly workers in our UK care operations</w:t>
      </w:r>
      <w:r>
        <w:rPr>
          <w:rFonts w:cs="Arial"/>
        </w:rPr>
        <w:t xml:space="preserve"> so</w:t>
      </w:r>
      <w:r w:rsidR="00271862">
        <w:rPr>
          <w:rFonts w:cs="Arial"/>
        </w:rPr>
        <w:t xml:space="preserve"> </w:t>
      </w:r>
      <w:r w:rsidR="00F354DC" w:rsidRPr="006313F4">
        <w:rPr>
          <w:rFonts w:cs="Arial"/>
        </w:rPr>
        <w:t xml:space="preserve">the median pay rate is strongly influenced by </w:t>
      </w:r>
      <w:r w:rsidR="00857B98" w:rsidRPr="006313F4">
        <w:rPr>
          <w:rFonts w:cs="Arial"/>
        </w:rPr>
        <w:t xml:space="preserve">the </w:t>
      </w:r>
      <w:r w:rsidR="003F77EC">
        <w:rPr>
          <w:rFonts w:cs="Arial"/>
        </w:rPr>
        <w:t>size</w:t>
      </w:r>
      <w:r w:rsidR="00857B98" w:rsidRPr="006313F4">
        <w:rPr>
          <w:rFonts w:cs="Arial"/>
        </w:rPr>
        <w:t xml:space="preserve"> of </w:t>
      </w:r>
      <w:r w:rsidR="00F354DC" w:rsidRPr="006313F4">
        <w:rPr>
          <w:rFonts w:cs="Arial"/>
        </w:rPr>
        <w:t>this group.</w:t>
      </w:r>
    </w:p>
    <w:p w14:paraId="517AB224" w14:textId="77777777" w:rsidR="00EA7E6D" w:rsidRDefault="00EA7E6D" w:rsidP="00F354DC">
      <w:pPr>
        <w:spacing w:line="276" w:lineRule="auto"/>
        <w:jc w:val="both"/>
        <w:rPr>
          <w:rFonts w:cs="Arial"/>
        </w:rPr>
      </w:pPr>
    </w:p>
    <w:p w14:paraId="032EC15B" w14:textId="453F8F90" w:rsidR="00F354DC" w:rsidRDefault="005B0740" w:rsidP="00F354DC">
      <w:pPr>
        <w:spacing w:line="276" w:lineRule="auto"/>
        <w:jc w:val="both"/>
        <w:rPr>
          <w:rFonts w:cs="Arial"/>
        </w:rPr>
      </w:pPr>
      <w:r>
        <w:rPr>
          <w:rFonts w:cs="Arial"/>
        </w:rPr>
        <w:t>Because t</w:t>
      </w:r>
      <w:r w:rsidR="001E3436">
        <w:rPr>
          <w:rFonts w:cs="Arial"/>
        </w:rPr>
        <w:t xml:space="preserve">he pay framework of </w:t>
      </w:r>
      <w:r w:rsidR="001E13E6">
        <w:rPr>
          <w:rFonts w:cs="Arial"/>
        </w:rPr>
        <w:t xml:space="preserve">these </w:t>
      </w:r>
      <w:r w:rsidR="00E25E23">
        <w:rPr>
          <w:rFonts w:cs="Arial"/>
        </w:rPr>
        <w:t>hourly paid</w:t>
      </w:r>
      <w:r w:rsidR="00B204B3">
        <w:rPr>
          <w:rFonts w:cs="Arial"/>
        </w:rPr>
        <w:t xml:space="preserve"> </w:t>
      </w:r>
      <w:r w:rsidR="005D6A21">
        <w:rPr>
          <w:rFonts w:cs="Arial"/>
        </w:rPr>
        <w:t>employees</w:t>
      </w:r>
      <w:r w:rsidR="00F354DC" w:rsidRPr="006313F4">
        <w:rPr>
          <w:rFonts w:cs="Arial"/>
        </w:rPr>
        <w:t xml:space="preserve"> </w:t>
      </w:r>
      <w:r>
        <w:rPr>
          <w:rFonts w:cs="Arial"/>
        </w:rPr>
        <w:t>is</w:t>
      </w:r>
      <w:r w:rsidR="00F354DC" w:rsidRPr="006313F4">
        <w:rPr>
          <w:rFonts w:cs="Arial"/>
        </w:rPr>
        <w:t xml:space="preserve"> standardised by role, </w:t>
      </w:r>
      <w:r w:rsidR="001E3436">
        <w:rPr>
          <w:rFonts w:cs="Arial"/>
        </w:rPr>
        <w:t xml:space="preserve">taking account of </w:t>
      </w:r>
      <w:r w:rsidR="00F354DC" w:rsidRPr="006313F4">
        <w:rPr>
          <w:rFonts w:cs="Arial"/>
        </w:rPr>
        <w:t>small regional variations for market factors</w:t>
      </w:r>
      <w:r>
        <w:rPr>
          <w:rFonts w:cs="Arial"/>
        </w:rPr>
        <w:t>, this</w:t>
      </w:r>
      <w:r w:rsidR="005D6A21">
        <w:rPr>
          <w:rFonts w:cs="Arial"/>
        </w:rPr>
        <w:t xml:space="preserve"> </w:t>
      </w:r>
      <w:r w:rsidR="001E3436">
        <w:rPr>
          <w:rFonts w:cs="Arial"/>
        </w:rPr>
        <w:t xml:space="preserve">has </w:t>
      </w:r>
      <w:r w:rsidR="00F354DC" w:rsidRPr="006313F4">
        <w:rPr>
          <w:rFonts w:cs="Arial"/>
        </w:rPr>
        <w:t>result</w:t>
      </w:r>
      <w:r w:rsidR="005D6A21">
        <w:rPr>
          <w:rFonts w:cs="Arial"/>
        </w:rPr>
        <w:t>ed</w:t>
      </w:r>
      <w:r w:rsidR="00F354DC" w:rsidRPr="006313F4">
        <w:rPr>
          <w:rFonts w:cs="Arial"/>
        </w:rPr>
        <w:t xml:space="preserve"> in very consistent </w:t>
      </w:r>
      <w:r w:rsidR="005D6A21">
        <w:rPr>
          <w:rFonts w:cs="Arial"/>
        </w:rPr>
        <w:t>pay levels between male and female staff</w:t>
      </w:r>
      <w:r w:rsidR="007D4A41">
        <w:rPr>
          <w:rFonts w:cs="Arial"/>
        </w:rPr>
        <w:t xml:space="preserve"> for this group</w:t>
      </w:r>
      <w:r w:rsidR="00F354DC" w:rsidRPr="006313F4">
        <w:rPr>
          <w:rFonts w:cs="Arial"/>
        </w:rPr>
        <w:t xml:space="preserve">, </w:t>
      </w:r>
      <w:r w:rsidR="00E25E23">
        <w:rPr>
          <w:rFonts w:cs="Arial"/>
        </w:rPr>
        <w:t xml:space="preserve">contributing to the </w:t>
      </w:r>
      <w:r w:rsidR="0077420F">
        <w:rPr>
          <w:rFonts w:cs="Arial"/>
        </w:rPr>
        <w:t xml:space="preserve">generally </w:t>
      </w:r>
      <w:r w:rsidR="00F354DC" w:rsidRPr="006313F4">
        <w:rPr>
          <w:rFonts w:cs="Arial"/>
        </w:rPr>
        <w:t>neutral median gender pay gap</w:t>
      </w:r>
      <w:r w:rsidR="00E25E23">
        <w:rPr>
          <w:rFonts w:cs="Arial"/>
        </w:rPr>
        <w:t xml:space="preserve"> for the organisation.</w:t>
      </w:r>
    </w:p>
    <w:p w14:paraId="6C4E4822" w14:textId="77777777" w:rsidR="00E25E23" w:rsidRPr="006313F4" w:rsidRDefault="00E25E23" w:rsidP="00F354DC">
      <w:pPr>
        <w:spacing w:line="276" w:lineRule="auto"/>
        <w:jc w:val="both"/>
        <w:rPr>
          <w:rFonts w:cs="Arial"/>
        </w:rPr>
      </w:pPr>
    </w:p>
    <w:p w14:paraId="460756C0" w14:textId="1C067FCB" w:rsidR="00E25E23" w:rsidRDefault="00063121" w:rsidP="00E25E23">
      <w:pPr>
        <w:spacing w:line="276" w:lineRule="auto"/>
        <w:jc w:val="both"/>
        <w:rPr>
          <w:rFonts w:cs="Arial"/>
        </w:rPr>
      </w:pPr>
      <w:r>
        <w:rPr>
          <w:rFonts w:cs="Arial"/>
        </w:rPr>
        <w:t>An</w:t>
      </w:r>
      <w:r w:rsidR="00E25E23">
        <w:rPr>
          <w:rFonts w:cs="Arial"/>
        </w:rPr>
        <w:t xml:space="preserve"> integrated pay </w:t>
      </w:r>
      <w:r w:rsidR="00E25E23" w:rsidRPr="006313F4">
        <w:rPr>
          <w:rFonts w:cs="Arial"/>
        </w:rPr>
        <w:t xml:space="preserve">framework </w:t>
      </w:r>
      <w:r w:rsidR="00E25E23">
        <w:rPr>
          <w:rFonts w:cs="Arial"/>
        </w:rPr>
        <w:t>cover</w:t>
      </w:r>
      <w:r>
        <w:rPr>
          <w:rFonts w:cs="Arial"/>
        </w:rPr>
        <w:t>s</w:t>
      </w:r>
      <w:r w:rsidR="00E25E23">
        <w:rPr>
          <w:rFonts w:cs="Arial"/>
        </w:rPr>
        <w:t xml:space="preserve"> all</w:t>
      </w:r>
      <w:r w:rsidR="00E25E23" w:rsidRPr="006313F4">
        <w:rPr>
          <w:rFonts w:cs="Arial"/>
        </w:rPr>
        <w:t xml:space="preserve"> salaried staff</w:t>
      </w:r>
      <w:r w:rsidR="00E25E23">
        <w:rPr>
          <w:rFonts w:cs="Arial"/>
        </w:rPr>
        <w:t xml:space="preserve">, </w:t>
      </w:r>
      <w:r w:rsidR="00E25E23" w:rsidRPr="006313F4">
        <w:rPr>
          <w:rFonts w:cs="Arial"/>
        </w:rPr>
        <w:t>based on the scale and level of complexity of the respective roles, so on an equivalent (“like for like”) basis, there is pay equity</w:t>
      </w:r>
      <w:r w:rsidR="00E25E23">
        <w:rPr>
          <w:rFonts w:cs="Arial"/>
        </w:rPr>
        <w:t xml:space="preserve"> across these roles too.</w:t>
      </w:r>
    </w:p>
    <w:p w14:paraId="364DC4D7" w14:textId="77777777" w:rsidR="00E25E23" w:rsidRDefault="00E25E23" w:rsidP="001E3436">
      <w:pPr>
        <w:spacing w:line="276" w:lineRule="auto"/>
        <w:jc w:val="both"/>
        <w:rPr>
          <w:rFonts w:cs="Arial"/>
        </w:rPr>
      </w:pPr>
    </w:p>
    <w:p w14:paraId="72B0E332" w14:textId="0F74E664" w:rsidR="00640CB0" w:rsidRDefault="002F6A1C" w:rsidP="002F6A1C">
      <w:pPr>
        <w:spacing w:line="276" w:lineRule="auto"/>
        <w:jc w:val="both"/>
        <w:rPr>
          <w:rFonts w:cs="Arial"/>
        </w:rPr>
      </w:pPr>
      <w:r>
        <w:rPr>
          <w:rFonts w:cs="Arial"/>
        </w:rPr>
        <w:t>W</w:t>
      </w:r>
      <w:r w:rsidR="00F354DC" w:rsidRPr="006313F4">
        <w:rPr>
          <w:rFonts w:cs="Arial"/>
        </w:rPr>
        <w:t xml:space="preserve">omen are relatively more strongly represented in </w:t>
      </w:r>
      <w:r w:rsidR="008F7475" w:rsidRPr="006313F4">
        <w:rPr>
          <w:rFonts w:cs="Arial"/>
        </w:rPr>
        <w:t>lower-level</w:t>
      </w:r>
      <w:r w:rsidR="00F354DC" w:rsidRPr="006313F4">
        <w:rPr>
          <w:rFonts w:cs="Arial"/>
        </w:rPr>
        <w:t xml:space="preserve"> roles, which include both hourly paid social care roles</w:t>
      </w:r>
      <w:r w:rsidR="008F7475">
        <w:rPr>
          <w:rFonts w:cs="Arial"/>
        </w:rPr>
        <w:t xml:space="preserve"> </w:t>
      </w:r>
      <w:r w:rsidR="00F354DC" w:rsidRPr="006313F4">
        <w:rPr>
          <w:rFonts w:cs="Arial"/>
        </w:rPr>
        <w:t>and more junior salaried roles</w:t>
      </w:r>
      <w:r w:rsidR="001E3436">
        <w:rPr>
          <w:rFonts w:cs="Arial"/>
        </w:rPr>
        <w:t xml:space="preserve">. This </w:t>
      </w:r>
      <w:r w:rsidR="00F354DC" w:rsidRPr="006313F4">
        <w:rPr>
          <w:rFonts w:cs="Arial"/>
        </w:rPr>
        <w:t>bring</w:t>
      </w:r>
      <w:r w:rsidR="001E3436">
        <w:rPr>
          <w:rFonts w:cs="Arial"/>
        </w:rPr>
        <w:t>s</w:t>
      </w:r>
      <w:r w:rsidR="00F354DC" w:rsidRPr="006313F4">
        <w:rPr>
          <w:rFonts w:cs="Arial"/>
        </w:rPr>
        <w:t xml:space="preserve"> down the average earnings for female employees relative to their male colleagues. While women are </w:t>
      </w:r>
      <w:r w:rsidR="00D05F20">
        <w:rPr>
          <w:rFonts w:cs="Arial"/>
        </w:rPr>
        <w:t>well-</w:t>
      </w:r>
      <w:r w:rsidR="00F354DC" w:rsidRPr="006313F4">
        <w:rPr>
          <w:rFonts w:cs="Arial"/>
        </w:rPr>
        <w:t>represented at the senior levels of the organisation</w:t>
      </w:r>
      <w:r w:rsidR="00F55EB5">
        <w:rPr>
          <w:rStyle w:val="FootnoteReference"/>
          <w:rFonts w:cs="Arial"/>
        </w:rPr>
        <w:footnoteReference w:id="2"/>
      </w:r>
      <w:r w:rsidR="00D05F20">
        <w:rPr>
          <w:rFonts w:cs="Arial"/>
        </w:rPr>
        <w:t xml:space="preserve"> making up 54% of these positions</w:t>
      </w:r>
      <w:r w:rsidR="00F354DC" w:rsidRPr="006313F4">
        <w:rPr>
          <w:rFonts w:cs="Arial"/>
        </w:rPr>
        <w:t xml:space="preserve">, this does not offset the impact of </w:t>
      </w:r>
      <w:r w:rsidR="00D07F5D">
        <w:rPr>
          <w:rFonts w:cs="Arial"/>
        </w:rPr>
        <w:t xml:space="preserve">significantly </w:t>
      </w:r>
      <w:r w:rsidR="00857B98" w:rsidRPr="006313F4">
        <w:rPr>
          <w:rFonts w:cs="Arial"/>
        </w:rPr>
        <w:t>higher proportions of</w:t>
      </w:r>
      <w:r w:rsidR="00F354DC" w:rsidRPr="006313F4">
        <w:rPr>
          <w:rFonts w:cs="Arial"/>
        </w:rPr>
        <w:t xml:space="preserve"> women in smaller roles.</w:t>
      </w:r>
      <w:r w:rsidR="00736549">
        <w:rPr>
          <w:rFonts w:cs="Arial"/>
        </w:rPr>
        <w:t xml:space="preserve"> </w:t>
      </w:r>
      <w:r w:rsidR="008F7475">
        <w:rPr>
          <w:rFonts w:cs="Arial"/>
        </w:rPr>
        <w:t>The inclusion of higher than usual numbers of consultants associated with our turnaround strategy (mostly male), further</w:t>
      </w:r>
      <w:r w:rsidR="00E25E23">
        <w:rPr>
          <w:rFonts w:cs="Arial"/>
        </w:rPr>
        <w:t xml:space="preserve"> contributes to the </w:t>
      </w:r>
      <w:r w:rsidR="00640CB0" w:rsidRPr="006313F4">
        <w:rPr>
          <w:rFonts w:cs="Arial"/>
        </w:rPr>
        <w:t xml:space="preserve">negative mean pay gap </w:t>
      </w:r>
      <w:r w:rsidR="001E3436">
        <w:rPr>
          <w:rFonts w:cs="Arial"/>
        </w:rPr>
        <w:t xml:space="preserve">of </w:t>
      </w:r>
      <w:r w:rsidR="008F7475">
        <w:rPr>
          <w:rFonts w:cs="Arial"/>
        </w:rPr>
        <w:t>8</w:t>
      </w:r>
      <w:r w:rsidR="00640CB0">
        <w:rPr>
          <w:rFonts w:cs="Arial"/>
        </w:rPr>
        <w:t>.</w:t>
      </w:r>
      <w:r w:rsidR="00F351A6">
        <w:rPr>
          <w:rFonts w:cs="Arial"/>
        </w:rPr>
        <w:t>1</w:t>
      </w:r>
      <w:r w:rsidR="00640CB0" w:rsidRPr="006313F4">
        <w:rPr>
          <w:rFonts w:cs="Arial"/>
        </w:rPr>
        <w:t>% in favour of male employees</w:t>
      </w:r>
      <w:r w:rsidR="000556D6">
        <w:rPr>
          <w:rFonts w:cs="Arial"/>
        </w:rPr>
        <w:t>.</w:t>
      </w:r>
      <w:r w:rsidR="0077420F">
        <w:rPr>
          <w:rFonts w:cs="Arial"/>
        </w:rPr>
        <w:t xml:space="preserve"> This figure has shown a </w:t>
      </w:r>
      <w:r w:rsidR="008F7475">
        <w:rPr>
          <w:rFonts w:cs="Arial"/>
        </w:rPr>
        <w:t>negative</w:t>
      </w:r>
      <w:r w:rsidR="0077420F">
        <w:rPr>
          <w:rFonts w:cs="Arial"/>
        </w:rPr>
        <w:t xml:space="preserve"> </w:t>
      </w:r>
      <w:r w:rsidR="00B405DF">
        <w:rPr>
          <w:rFonts w:cs="Arial"/>
        </w:rPr>
        <w:t>shift</w:t>
      </w:r>
      <w:r w:rsidR="0077420F">
        <w:rPr>
          <w:rFonts w:cs="Arial"/>
        </w:rPr>
        <w:t xml:space="preserve"> since the previous report</w:t>
      </w:r>
      <w:r w:rsidR="008F7475">
        <w:rPr>
          <w:rFonts w:cs="Arial"/>
        </w:rPr>
        <w:t>, for the reasons outlined above</w:t>
      </w:r>
      <w:r w:rsidR="0077420F">
        <w:rPr>
          <w:rFonts w:cs="Arial"/>
        </w:rPr>
        <w:t>.</w:t>
      </w:r>
    </w:p>
    <w:p w14:paraId="0A2BD8E8" w14:textId="77777777" w:rsidR="00857B98" w:rsidRPr="006313F4" w:rsidRDefault="00857B98" w:rsidP="004E5970">
      <w:pPr>
        <w:pStyle w:val="Heading1"/>
      </w:pPr>
      <w:r w:rsidRPr="006313F4">
        <w:t>Responses to the gender pay gap analysis</w:t>
      </w:r>
    </w:p>
    <w:p w14:paraId="4F2CF287" w14:textId="094D4FF5" w:rsidR="00177E15" w:rsidRPr="006313F4" w:rsidRDefault="009E48B0" w:rsidP="004E5970">
      <w:pPr>
        <w:keepNext/>
        <w:spacing w:line="276" w:lineRule="auto"/>
        <w:jc w:val="both"/>
        <w:rPr>
          <w:rFonts w:cs="Arial"/>
        </w:rPr>
      </w:pPr>
      <w:r>
        <w:rPr>
          <w:rFonts w:cs="Arial"/>
        </w:rPr>
        <w:t>Leonard Cheshire</w:t>
      </w:r>
      <w:r w:rsidR="00177E15" w:rsidRPr="006313F4">
        <w:rPr>
          <w:rFonts w:cs="Arial"/>
        </w:rPr>
        <w:t xml:space="preserve"> </w:t>
      </w:r>
      <w:r w:rsidR="005B0740">
        <w:rPr>
          <w:rFonts w:cs="Arial"/>
        </w:rPr>
        <w:t>continues working</w:t>
      </w:r>
      <w:r w:rsidR="009152C1">
        <w:rPr>
          <w:rFonts w:cs="Arial"/>
        </w:rPr>
        <w:t xml:space="preserve"> to </w:t>
      </w:r>
      <w:r w:rsidR="00177E15" w:rsidRPr="006313F4">
        <w:rPr>
          <w:rFonts w:cs="Arial"/>
        </w:rPr>
        <w:t xml:space="preserve">address our gender pay gap by: </w:t>
      </w:r>
    </w:p>
    <w:p w14:paraId="166F6C0E" w14:textId="56ABCFE2" w:rsidR="00350BDE" w:rsidRPr="006313F4" w:rsidRDefault="00350BDE" w:rsidP="00350BDE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Continuing to ensure our</w:t>
      </w:r>
      <w:r w:rsidRPr="006313F4">
        <w:rPr>
          <w:rFonts w:cs="Arial"/>
        </w:rPr>
        <w:t xml:space="preserve"> reward framework</w:t>
      </w:r>
      <w:r>
        <w:rPr>
          <w:rFonts w:cs="Arial"/>
        </w:rPr>
        <w:t>s</w:t>
      </w:r>
      <w:r w:rsidRPr="006313F4">
        <w:rPr>
          <w:rFonts w:cs="Arial"/>
        </w:rPr>
        <w:t xml:space="preserve"> </w:t>
      </w:r>
      <w:r>
        <w:rPr>
          <w:rFonts w:cs="Arial"/>
        </w:rPr>
        <w:t>enhance</w:t>
      </w:r>
      <w:r w:rsidRPr="006313F4">
        <w:rPr>
          <w:rFonts w:cs="Arial"/>
        </w:rPr>
        <w:t xml:space="preserve"> cross-organisational consistency </w:t>
      </w:r>
      <w:r>
        <w:rPr>
          <w:rFonts w:cs="Arial"/>
        </w:rPr>
        <w:t>and internal equity of pay</w:t>
      </w:r>
      <w:r w:rsidRPr="006313F4">
        <w:rPr>
          <w:rFonts w:cs="Arial"/>
        </w:rPr>
        <w:t>.</w:t>
      </w:r>
    </w:p>
    <w:p w14:paraId="5AF74D90" w14:textId="72EA0289" w:rsidR="009152C1" w:rsidRPr="005B0740" w:rsidRDefault="005B0740" w:rsidP="005B074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C</w:t>
      </w:r>
      <w:r w:rsidR="005E7003">
        <w:rPr>
          <w:rFonts w:cs="Arial"/>
        </w:rPr>
        <w:t>ontinu</w:t>
      </w:r>
      <w:r>
        <w:rPr>
          <w:rFonts w:cs="Arial"/>
        </w:rPr>
        <w:t>ing</w:t>
      </w:r>
      <w:r w:rsidR="005E7003">
        <w:rPr>
          <w:rFonts w:cs="Arial"/>
        </w:rPr>
        <w:t xml:space="preserve"> to </w:t>
      </w:r>
      <w:r>
        <w:rPr>
          <w:rFonts w:cs="Arial"/>
        </w:rPr>
        <w:t>encourage</w:t>
      </w:r>
      <w:r w:rsidR="009152C1" w:rsidRPr="006313F4">
        <w:rPr>
          <w:rFonts w:cs="Arial"/>
        </w:rPr>
        <w:t xml:space="preserve"> the culture of flexible working practices, to minimise career obstacles for working parents</w:t>
      </w:r>
      <w:r>
        <w:rPr>
          <w:rFonts w:cs="Arial"/>
        </w:rPr>
        <w:t xml:space="preserve"> –</w:t>
      </w:r>
      <w:r w:rsidR="005E7003" w:rsidRPr="005B0740">
        <w:rPr>
          <w:rFonts w:cs="Arial"/>
        </w:rPr>
        <w:t xml:space="preserve"> </w:t>
      </w:r>
      <w:r w:rsidR="0075303E" w:rsidRPr="005B0740">
        <w:rPr>
          <w:rFonts w:cs="Arial"/>
        </w:rPr>
        <w:t xml:space="preserve">responsibilities </w:t>
      </w:r>
      <w:r w:rsidR="005E7003" w:rsidRPr="005B0740">
        <w:rPr>
          <w:rFonts w:cs="Arial"/>
        </w:rPr>
        <w:t>typically biased towards women.</w:t>
      </w:r>
    </w:p>
    <w:p w14:paraId="0A61125E" w14:textId="6D0EF855" w:rsidR="000230EA" w:rsidRPr="006313F4" w:rsidRDefault="00857B98" w:rsidP="00857B9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6313F4">
        <w:rPr>
          <w:rFonts w:cs="Arial"/>
        </w:rPr>
        <w:t xml:space="preserve">Building awareness of the </w:t>
      </w:r>
      <w:r w:rsidR="009152C1">
        <w:rPr>
          <w:rFonts w:cs="Arial"/>
        </w:rPr>
        <w:t>structural</w:t>
      </w:r>
      <w:r w:rsidRPr="006313F4">
        <w:rPr>
          <w:rFonts w:cs="Arial"/>
        </w:rPr>
        <w:t xml:space="preserve"> </w:t>
      </w:r>
      <w:r w:rsidR="003D08A8" w:rsidRPr="006313F4">
        <w:rPr>
          <w:rFonts w:cs="Arial"/>
        </w:rPr>
        <w:t xml:space="preserve">gender </w:t>
      </w:r>
      <w:r w:rsidRPr="006313F4">
        <w:rPr>
          <w:rFonts w:cs="Arial"/>
        </w:rPr>
        <w:t>bias</w:t>
      </w:r>
      <w:r w:rsidR="009E11AC">
        <w:rPr>
          <w:rFonts w:cs="Arial"/>
        </w:rPr>
        <w:t xml:space="preserve"> </w:t>
      </w:r>
      <w:r w:rsidR="0033074C">
        <w:rPr>
          <w:rFonts w:cs="Arial"/>
        </w:rPr>
        <w:t xml:space="preserve">in </w:t>
      </w:r>
      <w:r w:rsidR="00E25E23">
        <w:rPr>
          <w:rFonts w:cs="Arial"/>
        </w:rPr>
        <w:t xml:space="preserve">the </w:t>
      </w:r>
      <w:r w:rsidR="0033074C">
        <w:rPr>
          <w:rFonts w:cs="Arial"/>
        </w:rPr>
        <w:t xml:space="preserve">social care and the charity sector </w:t>
      </w:r>
      <w:r w:rsidR="005B0740">
        <w:rPr>
          <w:rFonts w:cs="Arial"/>
        </w:rPr>
        <w:t xml:space="preserve">and </w:t>
      </w:r>
      <w:r w:rsidR="000230EA" w:rsidRPr="006313F4">
        <w:rPr>
          <w:rFonts w:cs="Arial"/>
        </w:rPr>
        <w:t>working consciously to counteract this.</w:t>
      </w:r>
    </w:p>
    <w:p w14:paraId="490A5426" w14:textId="7139B7C3" w:rsidR="00177E15" w:rsidRPr="006313F4" w:rsidRDefault="00B405DF" w:rsidP="00B405DF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Working collaboratively with our Employee </w:t>
      </w:r>
      <w:r w:rsidR="008F7475">
        <w:rPr>
          <w:rFonts w:cs="Arial"/>
        </w:rPr>
        <w:t xml:space="preserve">Inclusion </w:t>
      </w:r>
      <w:r>
        <w:rPr>
          <w:rFonts w:cs="Arial"/>
        </w:rPr>
        <w:t xml:space="preserve">Networks and the Staff Association, </w:t>
      </w:r>
      <w:r w:rsidR="003D08A8" w:rsidRPr="006313F4">
        <w:rPr>
          <w:rFonts w:cs="Arial"/>
        </w:rPr>
        <w:t>to increase awareness and further build our organisation as an inclusive workplace.</w:t>
      </w:r>
    </w:p>
    <w:p w14:paraId="2C4B11E5" w14:textId="4DF94DD9" w:rsidR="00177E15" w:rsidRDefault="009E11AC" w:rsidP="00857B9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Ongoing r</w:t>
      </w:r>
      <w:r w:rsidR="00177E15" w:rsidRPr="006313F4">
        <w:rPr>
          <w:rFonts w:cs="Arial"/>
        </w:rPr>
        <w:t>eview</w:t>
      </w:r>
      <w:r>
        <w:rPr>
          <w:rFonts w:cs="Arial"/>
        </w:rPr>
        <w:t xml:space="preserve"> of</w:t>
      </w:r>
      <w:r w:rsidR="00177E15" w:rsidRPr="006313F4">
        <w:rPr>
          <w:rFonts w:cs="Arial"/>
        </w:rPr>
        <w:t xml:space="preserve"> our </w:t>
      </w:r>
      <w:r w:rsidR="005638B9" w:rsidRPr="006313F4">
        <w:rPr>
          <w:rFonts w:cs="Arial"/>
        </w:rPr>
        <w:t>recruitment</w:t>
      </w:r>
      <w:r w:rsidR="00177E15" w:rsidRPr="006313F4">
        <w:rPr>
          <w:rFonts w:cs="Arial"/>
        </w:rPr>
        <w:t xml:space="preserve"> process to ensure fairness </w:t>
      </w:r>
      <w:r w:rsidR="000230EA" w:rsidRPr="006313F4">
        <w:rPr>
          <w:rFonts w:cs="Arial"/>
        </w:rPr>
        <w:t xml:space="preserve">in our process and parity </w:t>
      </w:r>
      <w:r w:rsidR="005638B9" w:rsidRPr="006313F4">
        <w:rPr>
          <w:rFonts w:cs="Arial"/>
        </w:rPr>
        <w:t>in the</w:t>
      </w:r>
      <w:r w:rsidR="00177E15" w:rsidRPr="006313F4">
        <w:rPr>
          <w:rFonts w:cs="Arial"/>
        </w:rPr>
        <w:t xml:space="preserve"> of</w:t>
      </w:r>
      <w:r w:rsidR="000230EA" w:rsidRPr="006313F4">
        <w:rPr>
          <w:rFonts w:cs="Arial"/>
        </w:rPr>
        <w:t>fers being made to new starters.</w:t>
      </w:r>
    </w:p>
    <w:p w14:paraId="702C6442" w14:textId="2674C542" w:rsidR="005E7003" w:rsidRPr="006313F4" w:rsidRDefault="005B0740" w:rsidP="00857B9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Ongoing review of </w:t>
      </w:r>
      <w:r w:rsidR="005E7003">
        <w:rPr>
          <w:rFonts w:cs="Arial"/>
        </w:rPr>
        <w:t>our recruitment practices to seek to attract more women into typically male-dominated roles</w:t>
      </w:r>
      <w:r w:rsidR="00F55EB5">
        <w:rPr>
          <w:rFonts w:cs="Arial"/>
        </w:rPr>
        <w:t xml:space="preserve">, with particular focus on Executive </w:t>
      </w:r>
      <w:r w:rsidR="001F20E3">
        <w:rPr>
          <w:rFonts w:cs="Arial"/>
        </w:rPr>
        <w:t>team</w:t>
      </w:r>
      <w:r w:rsidR="00F55EB5">
        <w:rPr>
          <w:rFonts w:cs="Arial"/>
        </w:rPr>
        <w:t xml:space="preserve"> roles</w:t>
      </w:r>
      <w:r w:rsidR="005E7003">
        <w:rPr>
          <w:rFonts w:cs="Arial"/>
        </w:rPr>
        <w:t>.</w:t>
      </w:r>
    </w:p>
    <w:p w14:paraId="53CA13DE" w14:textId="6EBC2D8F" w:rsidR="00B13BB5" w:rsidRDefault="00F55EB5" w:rsidP="00857B9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Seeking to </w:t>
      </w:r>
      <w:proofErr w:type="spellStart"/>
      <w:r>
        <w:rPr>
          <w:rFonts w:cs="Arial"/>
        </w:rPr>
        <w:t>to</w:t>
      </w:r>
      <w:proofErr w:type="spellEnd"/>
      <w:r>
        <w:rPr>
          <w:rFonts w:cs="Arial"/>
        </w:rPr>
        <w:t xml:space="preserve"> i</w:t>
      </w:r>
      <w:r w:rsidR="009152C1">
        <w:rPr>
          <w:rFonts w:cs="Arial"/>
        </w:rPr>
        <w:t xml:space="preserve">nvest in technical and leadership development, to assist in </w:t>
      </w:r>
      <w:r w:rsidR="00B13BB5">
        <w:rPr>
          <w:rFonts w:cs="Arial"/>
        </w:rPr>
        <w:t>career progression.</w:t>
      </w:r>
    </w:p>
    <w:p w14:paraId="5BCDD7E8" w14:textId="026650FD" w:rsidR="00177E15" w:rsidRPr="006313F4" w:rsidRDefault="00B13BB5" w:rsidP="00857B9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Review of</w:t>
      </w:r>
      <w:r w:rsidR="000230EA" w:rsidRPr="006313F4">
        <w:rPr>
          <w:rFonts w:cs="Arial"/>
        </w:rPr>
        <w:t xml:space="preserve"> our </w:t>
      </w:r>
      <w:r w:rsidR="00747D5D" w:rsidRPr="006313F4">
        <w:rPr>
          <w:rFonts w:cs="Arial"/>
        </w:rPr>
        <w:t xml:space="preserve">talent management and </w:t>
      </w:r>
      <w:r w:rsidR="000230EA" w:rsidRPr="006313F4">
        <w:rPr>
          <w:rFonts w:cs="Arial"/>
        </w:rPr>
        <w:t xml:space="preserve">career development </w:t>
      </w:r>
      <w:r w:rsidR="00747D5D" w:rsidRPr="006313F4">
        <w:rPr>
          <w:rFonts w:cs="Arial"/>
        </w:rPr>
        <w:t>processes</w:t>
      </w:r>
      <w:r w:rsidR="003D08A8" w:rsidRPr="006313F4">
        <w:rPr>
          <w:rFonts w:cs="Arial"/>
        </w:rPr>
        <w:t>, with due consideration of career progression of women in the organisation.</w:t>
      </w:r>
    </w:p>
    <w:p w14:paraId="017873F5" w14:textId="77777777" w:rsidR="00177E15" w:rsidRPr="006313F4" w:rsidRDefault="00177E15" w:rsidP="00A56B6E">
      <w:pPr>
        <w:spacing w:line="276" w:lineRule="auto"/>
        <w:jc w:val="both"/>
        <w:rPr>
          <w:rFonts w:cs="Arial"/>
        </w:rPr>
      </w:pPr>
    </w:p>
    <w:p w14:paraId="05052400" w14:textId="688204A7" w:rsidR="0031462C" w:rsidRPr="006313F4" w:rsidRDefault="003D08A8" w:rsidP="00A56B6E">
      <w:pPr>
        <w:spacing w:line="276" w:lineRule="auto"/>
        <w:jc w:val="both"/>
        <w:rPr>
          <w:rFonts w:cs="Arial"/>
        </w:rPr>
      </w:pPr>
      <w:r w:rsidRPr="006313F4">
        <w:rPr>
          <w:rFonts w:cs="Arial"/>
        </w:rPr>
        <w:t xml:space="preserve">While the structural aspects of the gendered nature of the </w:t>
      </w:r>
      <w:r w:rsidR="00B13BB5">
        <w:rPr>
          <w:rFonts w:cs="Arial"/>
        </w:rPr>
        <w:t xml:space="preserve">social care </w:t>
      </w:r>
      <w:r w:rsidR="005E7003">
        <w:rPr>
          <w:rFonts w:cs="Arial"/>
        </w:rPr>
        <w:t xml:space="preserve">and charity </w:t>
      </w:r>
      <w:r w:rsidR="00B13BB5">
        <w:rPr>
          <w:rFonts w:cs="Arial"/>
        </w:rPr>
        <w:t xml:space="preserve">sector </w:t>
      </w:r>
      <w:r w:rsidRPr="006313F4">
        <w:rPr>
          <w:rFonts w:cs="Arial"/>
        </w:rPr>
        <w:t>will continue to challenge us in narrowing our gender pay gap</w:t>
      </w:r>
      <w:r w:rsidR="00B13BB5">
        <w:rPr>
          <w:rFonts w:cs="Arial"/>
        </w:rPr>
        <w:t>, w</w:t>
      </w:r>
      <w:r w:rsidRPr="006313F4">
        <w:rPr>
          <w:rFonts w:cs="Arial"/>
        </w:rPr>
        <w:t xml:space="preserve">e are committed to working towards this goal, </w:t>
      </w:r>
      <w:r w:rsidR="00747D5D" w:rsidRPr="006313F4">
        <w:rPr>
          <w:rFonts w:cs="Arial"/>
        </w:rPr>
        <w:t xml:space="preserve">while </w:t>
      </w:r>
      <w:r w:rsidRPr="006313F4">
        <w:rPr>
          <w:rFonts w:cs="Arial"/>
        </w:rPr>
        <w:t xml:space="preserve">we </w:t>
      </w:r>
      <w:r w:rsidR="005E7003">
        <w:rPr>
          <w:rFonts w:cs="Arial"/>
        </w:rPr>
        <w:t xml:space="preserve">continue to </w:t>
      </w:r>
      <w:r w:rsidRPr="006313F4">
        <w:rPr>
          <w:rFonts w:cs="Arial"/>
        </w:rPr>
        <w:t>build our organisation as an inclusive, fair and empowering workplace.</w:t>
      </w:r>
    </w:p>
    <w:p w14:paraId="3142BBA2" w14:textId="26C9A006" w:rsidR="003D08A8" w:rsidRPr="006313F4" w:rsidRDefault="00BC5BA8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6824FFEF" w14:textId="77777777" w:rsidR="003D08A8" w:rsidRPr="006313F4" w:rsidRDefault="003D08A8" w:rsidP="00A56B6E">
      <w:pPr>
        <w:spacing w:line="276" w:lineRule="auto"/>
        <w:jc w:val="both"/>
        <w:rPr>
          <w:rFonts w:cs="Arial"/>
        </w:rPr>
      </w:pPr>
    </w:p>
    <w:p w14:paraId="6E7B6E2E" w14:textId="77777777" w:rsidR="003D08A8" w:rsidRPr="006313F4" w:rsidRDefault="003D08A8" w:rsidP="00A56B6E">
      <w:pPr>
        <w:spacing w:line="276" w:lineRule="auto"/>
        <w:jc w:val="both"/>
        <w:rPr>
          <w:rFonts w:cs="Arial"/>
        </w:rPr>
      </w:pPr>
    </w:p>
    <w:p w14:paraId="103ECC4E" w14:textId="77777777" w:rsidR="003D08A8" w:rsidRPr="006313F4" w:rsidRDefault="003D08A8" w:rsidP="00A56B6E">
      <w:pPr>
        <w:spacing w:line="276" w:lineRule="auto"/>
        <w:jc w:val="both"/>
        <w:rPr>
          <w:rFonts w:cs="Arial"/>
        </w:rPr>
      </w:pPr>
    </w:p>
    <w:p w14:paraId="54308DE6" w14:textId="77777777" w:rsidR="003D08A8" w:rsidRPr="006313F4" w:rsidRDefault="003D08A8" w:rsidP="00A56B6E">
      <w:pPr>
        <w:spacing w:line="276" w:lineRule="auto"/>
        <w:jc w:val="both"/>
        <w:rPr>
          <w:rFonts w:cs="Arial"/>
        </w:rPr>
      </w:pPr>
      <w:r w:rsidRPr="006313F4">
        <w:rPr>
          <w:rFonts w:cs="Arial"/>
        </w:rPr>
        <w:t>Lynn Barbour</w:t>
      </w:r>
    </w:p>
    <w:p w14:paraId="65C087EB" w14:textId="38DA5AEF" w:rsidR="003D08A8" w:rsidRPr="006313F4" w:rsidRDefault="003D08A8" w:rsidP="00A56B6E">
      <w:pPr>
        <w:spacing w:line="276" w:lineRule="auto"/>
        <w:jc w:val="both"/>
        <w:rPr>
          <w:rFonts w:cs="Arial"/>
          <w:b/>
        </w:rPr>
      </w:pPr>
      <w:r w:rsidRPr="006313F4">
        <w:rPr>
          <w:rFonts w:cs="Arial"/>
          <w:b/>
        </w:rPr>
        <w:t>Head of Reward</w:t>
      </w:r>
      <w:r w:rsidR="00C10E2C">
        <w:rPr>
          <w:rFonts w:cs="Arial"/>
          <w:b/>
        </w:rPr>
        <w:t xml:space="preserve"> and Employee Engagement</w:t>
      </w:r>
    </w:p>
    <w:p w14:paraId="262B3AA2" w14:textId="3A0A7CC4" w:rsidR="003D08A8" w:rsidRPr="006313F4" w:rsidRDefault="009E48B0" w:rsidP="00A56B6E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Leonard Cheshire</w:t>
      </w:r>
    </w:p>
    <w:p w14:paraId="637520C8" w14:textId="77777777" w:rsidR="003D08A8" w:rsidRPr="006313F4" w:rsidRDefault="003D08A8" w:rsidP="00A56B6E">
      <w:pPr>
        <w:spacing w:line="276" w:lineRule="auto"/>
        <w:jc w:val="both"/>
        <w:rPr>
          <w:rFonts w:cs="Arial"/>
        </w:rPr>
      </w:pPr>
    </w:p>
    <w:p w14:paraId="1F7780E2" w14:textId="30662A43" w:rsidR="003D08A8" w:rsidRPr="006313F4" w:rsidRDefault="004373A0" w:rsidP="00A56B6E">
      <w:pPr>
        <w:spacing w:line="276" w:lineRule="auto"/>
        <w:jc w:val="both"/>
        <w:rPr>
          <w:rFonts w:cs="Arial"/>
        </w:rPr>
      </w:pPr>
      <w:r>
        <w:rPr>
          <w:rFonts w:cs="Arial"/>
        </w:rPr>
        <w:t>March</w:t>
      </w:r>
      <w:r w:rsidR="00C10E2C">
        <w:rPr>
          <w:rFonts w:cs="Arial"/>
        </w:rPr>
        <w:t xml:space="preserve"> 202</w:t>
      </w:r>
      <w:r w:rsidR="005C0532">
        <w:rPr>
          <w:rFonts w:cs="Arial"/>
        </w:rPr>
        <w:t>3</w:t>
      </w:r>
    </w:p>
    <w:p w14:paraId="283CDBFD" w14:textId="77777777" w:rsidR="00053E31" w:rsidRDefault="00053E31" w:rsidP="00177E15">
      <w:pPr>
        <w:spacing w:line="276" w:lineRule="auto"/>
        <w:jc w:val="both"/>
        <w:rPr>
          <w:rFonts w:cs="Arial"/>
        </w:rPr>
        <w:sectPr w:rsidR="00053E31" w:rsidSect="009E507A">
          <w:headerReference w:type="default" r:id="rId11"/>
          <w:footerReference w:type="default" r:id="rId12"/>
          <w:headerReference w:type="first" r:id="rId13"/>
          <w:pgSz w:w="11906" w:h="16838"/>
          <w:pgMar w:top="1191" w:right="1191" w:bottom="1191" w:left="1191" w:header="708" w:footer="708" w:gutter="0"/>
          <w:cols w:space="708"/>
          <w:docGrid w:linePitch="360"/>
        </w:sectPr>
      </w:pPr>
    </w:p>
    <w:p w14:paraId="56B5A098" w14:textId="25123B86" w:rsidR="00140478" w:rsidRDefault="00053E31" w:rsidP="00177E15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The data in this report is certified as </w:t>
      </w:r>
      <w:r w:rsidR="000B07AF">
        <w:rPr>
          <w:rFonts w:cs="Arial"/>
        </w:rPr>
        <w:t>accurate</w:t>
      </w:r>
      <w:r>
        <w:rPr>
          <w:rFonts w:cs="Arial"/>
        </w:rPr>
        <w:t xml:space="preserve"> and is in line with statutory requirements.</w:t>
      </w:r>
    </w:p>
    <w:p w14:paraId="391DECDC" w14:textId="77777777" w:rsidR="00053E31" w:rsidRDefault="00053E31" w:rsidP="00177E15">
      <w:pPr>
        <w:spacing w:line="276" w:lineRule="auto"/>
        <w:jc w:val="both"/>
        <w:rPr>
          <w:rFonts w:cs="Arial"/>
        </w:rPr>
      </w:pPr>
    </w:p>
    <w:p w14:paraId="010BDCED" w14:textId="478250EE" w:rsidR="00053E31" w:rsidRDefault="00053E31" w:rsidP="00177E15">
      <w:pPr>
        <w:spacing w:line="276" w:lineRule="auto"/>
        <w:jc w:val="both"/>
        <w:rPr>
          <w:rFonts w:cs="Arial"/>
        </w:rPr>
      </w:pPr>
      <w:r>
        <w:rPr>
          <w:rFonts w:ascii="Trebuchet MS" w:hAnsi="Trebuchet MS" w:cs="Arial"/>
          <w:noProof/>
          <w:szCs w:val="22"/>
        </w:rPr>
        <w:drawing>
          <wp:inline distT="0" distB="0" distL="0" distR="0" wp14:anchorId="10B091B8" wp14:editId="7B67BCE8">
            <wp:extent cx="2120900" cy="571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DEE5EB"/>
                        </a:clrFrom>
                        <a:clrTo>
                          <a:srgbClr val="DEE5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8" r="4301" b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9EB6" w14:textId="77777777" w:rsidR="000B07AF" w:rsidRDefault="000B07AF" w:rsidP="00177E15">
      <w:pPr>
        <w:spacing w:line="276" w:lineRule="auto"/>
        <w:jc w:val="both"/>
        <w:rPr>
          <w:rFonts w:cs="Arial"/>
        </w:rPr>
      </w:pPr>
    </w:p>
    <w:p w14:paraId="24C2A5A4" w14:textId="5AFA3F17" w:rsidR="00053E31" w:rsidRDefault="00053E31" w:rsidP="00177E15">
      <w:pPr>
        <w:spacing w:line="276" w:lineRule="auto"/>
        <w:jc w:val="both"/>
        <w:rPr>
          <w:rFonts w:cs="Arial"/>
        </w:rPr>
      </w:pPr>
      <w:r>
        <w:rPr>
          <w:rFonts w:cs="Arial"/>
        </w:rPr>
        <w:t>Jon Forde</w:t>
      </w:r>
    </w:p>
    <w:p w14:paraId="4D5332A4" w14:textId="6F2CF149" w:rsidR="00053E31" w:rsidRDefault="00053E31" w:rsidP="00177E15">
      <w:pPr>
        <w:spacing w:line="276" w:lineRule="auto"/>
        <w:jc w:val="both"/>
        <w:rPr>
          <w:rFonts w:cs="Arial"/>
        </w:rPr>
      </w:pPr>
      <w:r>
        <w:rPr>
          <w:rFonts w:cs="Arial"/>
        </w:rPr>
        <w:t>Executive Director People</w:t>
      </w:r>
    </w:p>
    <w:p w14:paraId="2A31649F" w14:textId="6B723A47" w:rsidR="00053E31" w:rsidRDefault="00053E31" w:rsidP="00177E15">
      <w:pPr>
        <w:spacing w:line="276" w:lineRule="auto"/>
        <w:jc w:val="both"/>
        <w:rPr>
          <w:rFonts w:cs="Arial"/>
        </w:rPr>
      </w:pPr>
    </w:p>
    <w:p w14:paraId="1832B3E6" w14:textId="13D631E4" w:rsidR="00053E31" w:rsidRPr="006313F4" w:rsidRDefault="00053E31" w:rsidP="00177E15">
      <w:pPr>
        <w:spacing w:line="276" w:lineRule="auto"/>
        <w:jc w:val="both"/>
        <w:rPr>
          <w:rFonts w:cs="Arial"/>
        </w:rPr>
      </w:pPr>
      <w:r>
        <w:rPr>
          <w:rFonts w:cs="Arial"/>
        </w:rPr>
        <w:t>March 2023</w:t>
      </w:r>
    </w:p>
    <w:sectPr w:rsidR="00053E31" w:rsidRPr="006313F4" w:rsidSect="009E507A">
      <w:pgSz w:w="11906" w:h="16838"/>
      <w:pgMar w:top="1191" w:right="1191" w:bottom="119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C61C" w14:textId="77777777" w:rsidR="000A06DC" w:rsidRDefault="000A06DC" w:rsidP="003B2A45">
      <w:r>
        <w:separator/>
      </w:r>
    </w:p>
  </w:endnote>
  <w:endnote w:type="continuationSeparator" w:id="0">
    <w:p w14:paraId="28AF6DD7" w14:textId="77777777" w:rsidR="000A06DC" w:rsidRDefault="000A06DC" w:rsidP="003B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65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FB515" w14:textId="75CF2499" w:rsidR="0099130C" w:rsidRDefault="00991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88BACD" w14:textId="77777777" w:rsidR="006763B4" w:rsidRDefault="00676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B960" w14:textId="77777777" w:rsidR="000A06DC" w:rsidRDefault="000A06DC" w:rsidP="003B2A45">
      <w:r>
        <w:separator/>
      </w:r>
    </w:p>
  </w:footnote>
  <w:footnote w:type="continuationSeparator" w:id="0">
    <w:p w14:paraId="5FA724D0" w14:textId="77777777" w:rsidR="000A06DC" w:rsidRDefault="000A06DC" w:rsidP="003B2A45">
      <w:r>
        <w:continuationSeparator/>
      </w:r>
    </w:p>
  </w:footnote>
  <w:footnote w:id="1">
    <w:p w14:paraId="603818F8" w14:textId="2BA0206B" w:rsidR="00011883" w:rsidRDefault="00011883">
      <w:pPr>
        <w:pStyle w:val="FootnoteText"/>
      </w:pPr>
      <w:r>
        <w:rPr>
          <w:rStyle w:val="FootnoteReference"/>
        </w:rPr>
        <w:footnoteRef/>
      </w:r>
      <w:r>
        <w:t xml:space="preserve"> All comparator figures are from Office of National Statistics (ONS) - </w:t>
      </w:r>
      <w:r w:rsidRPr="000042F1">
        <w:t>Annual Survey of Hours and Earnings (ASHE) gender pay gap tables</w:t>
      </w:r>
      <w:r w:rsidR="00130B74">
        <w:t>.</w:t>
      </w:r>
    </w:p>
  </w:footnote>
  <w:footnote w:id="2">
    <w:p w14:paraId="50D91964" w14:textId="113A3B06" w:rsidR="00F55EB5" w:rsidRDefault="00F55EB5">
      <w:pPr>
        <w:pStyle w:val="FootnoteText"/>
      </w:pPr>
      <w:r>
        <w:rPr>
          <w:rStyle w:val="FootnoteReference"/>
        </w:rPr>
        <w:footnoteRef/>
      </w:r>
      <w:r>
        <w:t xml:space="preserve"> Heads of department</w:t>
      </w:r>
      <w:r w:rsidR="00427230">
        <w:t>, Directors, members of the Executive team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51A6" w14:textId="686927F8" w:rsidR="003B2A45" w:rsidRDefault="003B2A45" w:rsidP="003B2A45">
    <w:pPr>
      <w:pStyle w:val="Header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DCB6" w14:textId="067179A4" w:rsidR="003B2A45" w:rsidRDefault="003B2A45" w:rsidP="003B2A45">
    <w:pPr>
      <w:pStyle w:val="Header"/>
      <w:tabs>
        <w:tab w:val="clear" w:pos="4513"/>
        <w:tab w:val="clear" w:pos="9026"/>
        <w:tab w:val="left" w:pos="2500"/>
      </w:tabs>
    </w:pPr>
    <w:r w:rsidRPr="003B2A45">
      <w:rPr>
        <w:noProof/>
      </w:rPr>
      <w:drawing>
        <wp:anchor distT="0" distB="107950" distL="114300" distR="114300" simplePos="0" relativeHeight="251659264" behindDoc="0" locked="0" layoutInCell="1" allowOverlap="1" wp14:anchorId="7C2CE9FF" wp14:editId="3CF68C32">
          <wp:simplePos x="0" y="0"/>
          <wp:positionH relativeFrom="column">
            <wp:posOffset>4699000</wp:posOffset>
          </wp:positionH>
          <wp:positionV relativeFrom="paragraph">
            <wp:posOffset>107950</wp:posOffset>
          </wp:positionV>
          <wp:extent cx="1372850" cy="684000"/>
          <wp:effectExtent l="0" t="0" r="0" b="1905"/>
          <wp:wrapTopAndBottom/>
          <wp:docPr id="10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50" cy="68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7D54"/>
    <w:multiLevelType w:val="hybridMultilevel"/>
    <w:tmpl w:val="9A8A0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0235F8"/>
    <w:multiLevelType w:val="hybridMultilevel"/>
    <w:tmpl w:val="59C8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1297">
    <w:abstractNumId w:val="0"/>
  </w:num>
  <w:num w:numId="2" w16cid:durableId="75150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8"/>
    <w:rsid w:val="000042F1"/>
    <w:rsid w:val="00011883"/>
    <w:rsid w:val="000230EA"/>
    <w:rsid w:val="00053E31"/>
    <w:rsid w:val="00054D6F"/>
    <w:rsid w:val="000556D6"/>
    <w:rsid w:val="00063121"/>
    <w:rsid w:val="00080C98"/>
    <w:rsid w:val="00084390"/>
    <w:rsid w:val="00094F7A"/>
    <w:rsid w:val="000A06DC"/>
    <w:rsid w:val="000B07AF"/>
    <w:rsid w:val="000F1FFB"/>
    <w:rsid w:val="001013C4"/>
    <w:rsid w:val="001042FC"/>
    <w:rsid w:val="001148A0"/>
    <w:rsid w:val="00130B74"/>
    <w:rsid w:val="00140478"/>
    <w:rsid w:val="00152601"/>
    <w:rsid w:val="00153F79"/>
    <w:rsid w:val="001670C7"/>
    <w:rsid w:val="00177E15"/>
    <w:rsid w:val="001858F9"/>
    <w:rsid w:val="00195EBF"/>
    <w:rsid w:val="001C17E4"/>
    <w:rsid w:val="001D14D2"/>
    <w:rsid w:val="001E13E6"/>
    <w:rsid w:val="001E3436"/>
    <w:rsid w:val="001F20E3"/>
    <w:rsid w:val="00206E7B"/>
    <w:rsid w:val="002116BD"/>
    <w:rsid w:val="00216A8C"/>
    <w:rsid w:val="00235CCF"/>
    <w:rsid w:val="00237B19"/>
    <w:rsid w:val="002433E0"/>
    <w:rsid w:val="00252E4C"/>
    <w:rsid w:val="00271862"/>
    <w:rsid w:val="002727E8"/>
    <w:rsid w:val="002828DB"/>
    <w:rsid w:val="002D5148"/>
    <w:rsid w:val="002E1288"/>
    <w:rsid w:val="002F4A40"/>
    <w:rsid w:val="002F6A1C"/>
    <w:rsid w:val="003113B3"/>
    <w:rsid w:val="0031462C"/>
    <w:rsid w:val="00317954"/>
    <w:rsid w:val="0033074C"/>
    <w:rsid w:val="00350BDE"/>
    <w:rsid w:val="003A25AA"/>
    <w:rsid w:val="003A62B0"/>
    <w:rsid w:val="003B1D06"/>
    <w:rsid w:val="003B2A45"/>
    <w:rsid w:val="003B7FF8"/>
    <w:rsid w:val="003C1FC2"/>
    <w:rsid w:val="003D08A8"/>
    <w:rsid w:val="003E2043"/>
    <w:rsid w:val="003E7604"/>
    <w:rsid w:val="003F020E"/>
    <w:rsid w:val="003F77EC"/>
    <w:rsid w:val="00427230"/>
    <w:rsid w:val="004373A0"/>
    <w:rsid w:val="00455105"/>
    <w:rsid w:val="004649CB"/>
    <w:rsid w:val="00473EEC"/>
    <w:rsid w:val="004A1D88"/>
    <w:rsid w:val="004C10D9"/>
    <w:rsid w:val="004E385C"/>
    <w:rsid w:val="004E5970"/>
    <w:rsid w:val="00514002"/>
    <w:rsid w:val="00533F9F"/>
    <w:rsid w:val="00534FD2"/>
    <w:rsid w:val="005371BA"/>
    <w:rsid w:val="0056032C"/>
    <w:rsid w:val="005604C9"/>
    <w:rsid w:val="005638B9"/>
    <w:rsid w:val="005978EE"/>
    <w:rsid w:val="005A6854"/>
    <w:rsid w:val="005B0740"/>
    <w:rsid w:val="005C0532"/>
    <w:rsid w:val="005C1D80"/>
    <w:rsid w:val="005C4261"/>
    <w:rsid w:val="005D6A21"/>
    <w:rsid w:val="005E7003"/>
    <w:rsid w:val="005F3703"/>
    <w:rsid w:val="00604EE7"/>
    <w:rsid w:val="00606B61"/>
    <w:rsid w:val="00613E50"/>
    <w:rsid w:val="00624D84"/>
    <w:rsid w:val="006313F4"/>
    <w:rsid w:val="006337F2"/>
    <w:rsid w:val="00636B82"/>
    <w:rsid w:val="00640CB0"/>
    <w:rsid w:val="00642B33"/>
    <w:rsid w:val="00660F5B"/>
    <w:rsid w:val="00665DA6"/>
    <w:rsid w:val="006763B4"/>
    <w:rsid w:val="006802E9"/>
    <w:rsid w:val="006A1D7C"/>
    <w:rsid w:val="006A3123"/>
    <w:rsid w:val="006C3FBE"/>
    <w:rsid w:val="006D3F1F"/>
    <w:rsid w:val="006D484E"/>
    <w:rsid w:val="006F1C0E"/>
    <w:rsid w:val="006F265C"/>
    <w:rsid w:val="006F3352"/>
    <w:rsid w:val="00736549"/>
    <w:rsid w:val="00747D5D"/>
    <w:rsid w:val="0075303E"/>
    <w:rsid w:val="007619DB"/>
    <w:rsid w:val="0077420F"/>
    <w:rsid w:val="007D05CA"/>
    <w:rsid w:val="007D4A41"/>
    <w:rsid w:val="007E2F5A"/>
    <w:rsid w:val="007F11B4"/>
    <w:rsid w:val="007F3A6A"/>
    <w:rsid w:val="008001B0"/>
    <w:rsid w:val="008005FC"/>
    <w:rsid w:val="00825DCA"/>
    <w:rsid w:val="008302FA"/>
    <w:rsid w:val="00831741"/>
    <w:rsid w:val="00834E20"/>
    <w:rsid w:val="008356A7"/>
    <w:rsid w:val="00841695"/>
    <w:rsid w:val="0085664D"/>
    <w:rsid w:val="00857B98"/>
    <w:rsid w:val="0086494B"/>
    <w:rsid w:val="00866946"/>
    <w:rsid w:val="0087480B"/>
    <w:rsid w:val="008D4766"/>
    <w:rsid w:val="008E4734"/>
    <w:rsid w:val="008E693B"/>
    <w:rsid w:val="008F0A7C"/>
    <w:rsid w:val="008F443B"/>
    <w:rsid w:val="008F6DB6"/>
    <w:rsid w:val="008F7475"/>
    <w:rsid w:val="009152C1"/>
    <w:rsid w:val="00950289"/>
    <w:rsid w:val="009811CB"/>
    <w:rsid w:val="0099130C"/>
    <w:rsid w:val="009A5BFF"/>
    <w:rsid w:val="009A7FF4"/>
    <w:rsid w:val="009B1369"/>
    <w:rsid w:val="009C6F27"/>
    <w:rsid w:val="009E11AC"/>
    <w:rsid w:val="009E33B6"/>
    <w:rsid w:val="009E48B0"/>
    <w:rsid w:val="009E507A"/>
    <w:rsid w:val="00A1106E"/>
    <w:rsid w:val="00A403D9"/>
    <w:rsid w:val="00A56B6E"/>
    <w:rsid w:val="00A61959"/>
    <w:rsid w:val="00A904A0"/>
    <w:rsid w:val="00AA7E12"/>
    <w:rsid w:val="00AC3518"/>
    <w:rsid w:val="00AC358C"/>
    <w:rsid w:val="00AC6118"/>
    <w:rsid w:val="00AF2932"/>
    <w:rsid w:val="00AF4B37"/>
    <w:rsid w:val="00B009DB"/>
    <w:rsid w:val="00B13BB5"/>
    <w:rsid w:val="00B15076"/>
    <w:rsid w:val="00B204B3"/>
    <w:rsid w:val="00B3133C"/>
    <w:rsid w:val="00B37AB1"/>
    <w:rsid w:val="00B405DF"/>
    <w:rsid w:val="00B62383"/>
    <w:rsid w:val="00B64170"/>
    <w:rsid w:val="00B7170D"/>
    <w:rsid w:val="00B92E0E"/>
    <w:rsid w:val="00BC5BA8"/>
    <w:rsid w:val="00BD7528"/>
    <w:rsid w:val="00C10E2C"/>
    <w:rsid w:val="00C427FE"/>
    <w:rsid w:val="00C4682E"/>
    <w:rsid w:val="00C835D6"/>
    <w:rsid w:val="00C86B93"/>
    <w:rsid w:val="00C9034A"/>
    <w:rsid w:val="00C928D8"/>
    <w:rsid w:val="00C92B2E"/>
    <w:rsid w:val="00CA636E"/>
    <w:rsid w:val="00CC0683"/>
    <w:rsid w:val="00CC6EEA"/>
    <w:rsid w:val="00CD75A2"/>
    <w:rsid w:val="00D05F20"/>
    <w:rsid w:val="00D07F5D"/>
    <w:rsid w:val="00D21E2D"/>
    <w:rsid w:val="00D460FA"/>
    <w:rsid w:val="00D503A4"/>
    <w:rsid w:val="00D6518F"/>
    <w:rsid w:val="00DB71A8"/>
    <w:rsid w:val="00DD60D8"/>
    <w:rsid w:val="00E25E23"/>
    <w:rsid w:val="00E32816"/>
    <w:rsid w:val="00E32ED3"/>
    <w:rsid w:val="00E34526"/>
    <w:rsid w:val="00E44F6C"/>
    <w:rsid w:val="00E86DB3"/>
    <w:rsid w:val="00EA55E6"/>
    <w:rsid w:val="00EA67E5"/>
    <w:rsid w:val="00EA7E6D"/>
    <w:rsid w:val="00EB2578"/>
    <w:rsid w:val="00EB4245"/>
    <w:rsid w:val="00EB6DF5"/>
    <w:rsid w:val="00ED5C12"/>
    <w:rsid w:val="00EE565A"/>
    <w:rsid w:val="00EF4798"/>
    <w:rsid w:val="00F351A6"/>
    <w:rsid w:val="00F354DC"/>
    <w:rsid w:val="00F43F29"/>
    <w:rsid w:val="00F55EB5"/>
    <w:rsid w:val="00F76E75"/>
    <w:rsid w:val="00F9648B"/>
    <w:rsid w:val="00FB2171"/>
    <w:rsid w:val="00FC4312"/>
    <w:rsid w:val="00FC7C75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598477A"/>
  <w15:docId w15:val="{E8B8201D-F356-4840-8452-31E47AD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4245"/>
    <w:pPr>
      <w:keepNext/>
      <w:keepLines/>
      <w:spacing w:before="120" w:after="120" w:line="276" w:lineRule="auto"/>
      <w:outlineLvl w:val="0"/>
    </w:pPr>
    <w:rPr>
      <w:rFonts w:eastAsiaTheme="majorEastAs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E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14002"/>
    <w:pPr>
      <w:spacing w:line="201" w:lineRule="atLeast"/>
    </w:pPr>
    <w:rPr>
      <w:rFonts w:ascii="Bliss 2 Light" w:hAnsi="Bliss 2 Light" w:cs="Times New Roman"/>
      <w:color w:val="auto"/>
    </w:rPr>
  </w:style>
  <w:style w:type="paragraph" w:styleId="BalloonText">
    <w:name w:val="Balloon Text"/>
    <w:basedOn w:val="Normal"/>
    <w:link w:val="BalloonTextChar"/>
    <w:rsid w:val="00514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B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B2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2A4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2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45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C5B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5BA8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BC5BA8"/>
    <w:rPr>
      <w:vertAlign w:val="superscript"/>
    </w:rPr>
  </w:style>
  <w:style w:type="character" w:styleId="Hyperlink">
    <w:name w:val="Hyperlink"/>
    <w:basedOn w:val="DefaultParagraphFont"/>
    <w:unhideWhenUsed/>
    <w:rsid w:val="00BC5B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317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1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7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741"/>
    <w:rPr>
      <w:rFonts w:ascii="Arial" w:hAnsi="Arial"/>
      <w:b/>
      <w:bCs/>
    </w:rPr>
  </w:style>
  <w:style w:type="table" w:styleId="GridTable1Light">
    <w:name w:val="Grid Table 1 Light"/>
    <w:basedOn w:val="TableNormal"/>
    <w:uiPriority w:val="46"/>
    <w:rsid w:val="007D05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EB4245"/>
    <w:rPr>
      <w:rFonts w:ascii="Arial" w:eastAsiaTheme="majorEastAsia" w:hAnsi="Arial" w:cs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66946"/>
    <w:pPr>
      <w:contextualSpacing/>
      <w:jc w:val="center"/>
    </w:pPr>
    <w:rPr>
      <w:rFonts w:eastAsiaTheme="majorEastAsia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66946"/>
    <w:rPr>
      <w:rFonts w:ascii="Arial" w:eastAsiaTheme="majorEastAsia" w:hAnsi="Arial" w:cs="Arial"/>
      <w:b/>
      <w:bCs/>
      <w:kern w:val="28"/>
      <w:sz w:val="28"/>
      <w:szCs w:val="28"/>
    </w:rPr>
  </w:style>
  <w:style w:type="paragraph" w:styleId="Revision">
    <w:name w:val="Revision"/>
    <w:hidden/>
    <w:uiPriority w:val="99"/>
    <w:semiHidden/>
    <w:rsid w:val="00F55EB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DC5C-5A24-419C-8BCF-17969DB4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1199</Words>
  <Characters>6335</Characters>
  <Application>Microsoft Office Word</Application>
  <DocSecurity>2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Gender pay reporting</vt:lpstr>
      <vt:lpstr>Organisational context</vt:lpstr>
      <vt:lpstr>Headline gender pay gap</vt:lpstr>
      <vt:lpstr>Comparison to previous years</vt:lpstr>
      <vt:lpstr>Proportion of male and female employees by quartile group </vt:lpstr>
      <vt:lpstr>Findings from our gender pay gap analysis</vt:lpstr>
      <vt:lpstr>Responses to the gender pay gap analysis</vt:lpstr>
    </vt:vector>
  </TitlesOfParts>
  <Company>Leonard Cheshire Disability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Barbour</dc:creator>
  <cp:lastModifiedBy>Lynn Barbour</cp:lastModifiedBy>
  <cp:revision>3</cp:revision>
  <cp:lastPrinted>2023-03-21T11:41:00Z</cp:lastPrinted>
  <dcterms:created xsi:type="dcterms:W3CDTF">2023-03-29T10:36:00Z</dcterms:created>
  <dcterms:modified xsi:type="dcterms:W3CDTF">2023-03-30T16:44:00Z</dcterms:modified>
</cp:coreProperties>
</file>