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FE0B9" w14:textId="77777777" w:rsidR="000A5986" w:rsidRPr="004337E3" w:rsidRDefault="000A5986" w:rsidP="000A5986">
      <w:pPr>
        <w:autoSpaceDE w:val="0"/>
        <w:autoSpaceDN w:val="0"/>
        <w:adjustRightInd w:val="0"/>
        <w:rPr>
          <w:rFonts w:eastAsia="+mj-ea" w:cs="+mj-cs"/>
          <w:b/>
          <w:bCs/>
          <w:color w:val="DC0451"/>
          <w:sz w:val="44"/>
          <w:szCs w:val="48"/>
          <w:lang w:val="en-US"/>
        </w:rPr>
      </w:pPr>
      <w:bookmarkStart w:id="0" w:name="_GoBack"/>
      <w:bookmarkEnd w:id="0"/>
      <w:r w:rsidRPr="004337E3">
        <w:rPr>
          <w:rFonts w:eastAsia="+mj-ea" w:cs="+mj-cs"/>
          <w:b/>
          <w:bCs/>
          <w:color w:val="DC0451"/>
          <w:sz w:val="44"/>
          <w:szCs w:val="48"/>
          <w:lang w:val="en-US"/>
        </w:rPr>
        <w:t>Leonard Cheshire Disability</w:t>
      </w:r>
    </w:p>
    <w:p w14:paraId="17BCF43F" w14:textId="77777777" w:rsidR="000A5986" w:rsidRPr="004337E3" w:rsidRDefault="000A5986" w:rsidP="000A5986">
      <w:pPr>
        <w:autoSpaceDE w:val="0"/>
        <w:autoSpaceDN w:val="0"/>
        <w:adjustRightInd w:val="0"/>
        <w:rPr>
          <w:rFonts w:ascii="FSMencap-Bold" w:hAnsi="FSMencap-Bold" w:cs="FSMencap-Bold"/>
          <w:b/>
          <w:bCs/>
          <w:color w:val="A99F96"/>
          <w:sz w:val="46"/>
          <w:szCs w:val="48"/>
        </w:rPr>
      </w:pPr>
      <w:r w:rsidRPr="004337E3">
        <w:rPr>
          <w:rFonts w:ascii="FSMencap-Bold" w:hAnsi="FSMencap-Bold" w:cs="FSMencap-Bold"/>
          <w:b/>
          <w:bCs/>
          <w:color w:val="A99F96"/>
          <w:sz w:val="46"/>
          <w:szCs w:val="48"/>
        </w:rPr>
        <w:t>Gender pay gap report 2018</w:t>
      </w:r>
    </w:p>
    <w:p w14:paraId="46F2E2F6" w14:textId="77777777" w:rsidR="000A5986" w:rsidRDefault="000A5986" w:rsidP="000A5986">
      <w:pPr>
        <w:rPr>
          <w:rFonts w:ascii="FSMencap-Light" w:hAnsi="FSMencap-Light" w:cs="FSMencap-Light"/>
          <w:color w:val="000000"/>
        </w:rPr>
      </w:pPr>
    </w:p>
    <w:p w14:paraId="6EF9DB8B" w14:textId="77777777" w:rsidR="00206E7B" w:rsidRPr="004C2C6F" w:rsidRDefault="000A5986" w:rsidP="000922AE">
      <w:pPr>
        <w:spacing w:line="276" w:lineRule="auto"/>
        <w:jc w:val="both"/>
        <w:rPr>
          <w:rFonts w:ascii="Trebuchet MS" w:hAnsi="Trebuchet MS"/>
          <w:sz w:val="22"/>
          <w:szCs w:val="20"/>
        </w:rPr>
      </w:pPr>
      <w:r w:rsidRPr="004C2C6F">
        <w:rPr>
          <w:rFonts w:ascii="Trebuchet MS" w:hAnsi="Trebuchet MS"/>
          <w:sz w:val="22"/>
          <w:szCs w:val="20"/>
        </w:rPr>
        <w:t>We welcome the opportunity to publish our gender pay gap report and share our thoughts and plans for addressing</w:t>
      </w:r>
      <w:r w:rsidR="007429B7">
        <w:rPr>
          <w:rFonts w:ascii="Trebuchet MS" w:hAnsi="Trebuchet MS"/>
          <w:sz w:val="22"/>
          <w:szCs w:val="20"/>
        </w:rPr>
        <w:t xml:space="preserve"> continuous improvements in</w:t>
      </w:r>
      <w:r w:rsidRPr="004C2C6F">
        <w:rPr>
          <w:rFonts w:ascii="Trebuchet MS" w:hAnsi="Trebuchet MS"/>
          <w:sz w:val="22"/>
          <w:szCs w:val="20"/>
        </w:rPr>
        <w:t xml:space="preserve"> </w:t>
      </w:r>
      <w:r w:rsidR="007429B7">
        <w:rPr>
          <w:rFonts w:ascii="Trebuchet MS" w:hAnsi="Trebuchet MS"/>
          <w:sz w:val="22"/>
          <w:szCs w:val="20"/>
        </w:rPr>
        <w:t>this important matter</w:t>
      </w:r>
      <w:r w:rsidRPr="004C2C6F">
        <w:rPr>
          <w:rFonts w:ascii="Trebuchet MS" w:hAnsi="Trebuchet MS"/>
          <w:sz w:val="22"/>
          <w:szCs w:val="20"/>
        </w:rPr>
        <w:t>.</w:t>
      </w:r>
    </w:p>
    <w:p w14:paraId="02685E15" w14:textId="77777777" w:rsidR="000A5986" w:rsidRPr="004C2C6F" w:rsidRDefault="000A5986" w:rsidP="000922AE">
      <w:pPr>
        <w:spacing w:line="276" w:lineRule="auto"/>
        <w:jc w:val="both"/>
        <w:rPr>
          <w:rFonts w:ascii="Trebuchet MS" w:hAnsi="Trebuchet MS"/>
          <w:sz w:val="22"/>
          <w:szCs w:val="20"/>
        </w:rPr>
      </w:pPr>
    </w:p>
    <w:p w14:paraId="78EE0565" w14:textId="77777777" w:rsidR="000922AE" w:rsidRPr="004C2C6F" w:rsidRDefault="000922AE" w:rsidP="000922AE">
      <w:pPr>
        <w:spacing w:line="276" w:lineRule="auto"/>
        <w:jc w:val="both"/>
        <w:rPr>
          <w:rFonts w:ascii="Trebuchet MS" w:hAnsi="Trebuchet MS"/>
          <w:sz w:val="22"/>
          <w:szCs w:val="20"/>
        </w:rPr>
      </w:pPr>
      <w:r w:rsidRPr="004C2C6F">
        <w:rPr>
          <w:rFonts w:ascii="Trebuchet MS" w:hAnsi="Trebuchet MS"/>
          <w:sz w:val="22"/>
          <w:szCs w:val="20"/>
        </w:rPr>
        <w:t>Leonard Cheshire Disability is committed to building a diverse and inclusive workplace for our employees. Our diversity initiatives and strategies are designed to attract, develop and advance employees regardless of their race, sexual orientation, religion, age, gender, disability status or any other dimension of diversity.</w:t>
      </w:r>
    </w:p>
    <w:p w14:paraId="5E51F59E" w14:textId="77777777" w:rsidR="000922AE" w:rsidRPr="004C2C6F" w:rsidRDefault="000922AE" w:rsidP="000922AE">
      <w:pPr>
        <w:spacing w:line="276" w:lineRule="auto"/>
        <w:jc w:val="both"/>
        <w:rPr>
          <w:rFonts w:ascii="Trebuchet MS" w:hAnsi="Trebuchet MS"/>
          <w:sz w:val="22"/>
          <w:szCs w:val="20"/>
        </w:rPr>
      </w:pPr>
    </w:p>
    <w:p w14:paraId="09489DF8" w14:textId="77777777" w:rsidR="002A7419" w:rsidRDefault="004C2C6F" w:rsidP="000922AE">
      <w:pPr>
        <w:spacing w:line="276" w:lineRule="auto"/>
        <w:jc w:val="both"/>
        <w:rPr>
          <w:rFonts w:ascii="Trebuchet MS" w:hAnsi="Trebuchet MS"/>
          <w:sz w:val="22"/>
          <w:szCs w:val="20"/>
        </w:rPr>
      </w:pPr>
      <w:r w:rsidRPr="004C2C6F">
        <w:rPr>
          <w:rFonts w:ascii="Trebuchet MS" w:hAnsi="Trebuchet MS"/>
          <w:sz w:val="22"/>
          <w:szCs w:val="20"/>
        </w:rPr>
        <w:t>We</w:t>
      </w:r>
      <w:r w:rsidR="000922AE" w:rsidRPr="004C2C6F">
        <w:rPr>
          <w:rFonts w:ascii="Trebuchet MS" w:hAnsi="Trebuchet MS"/>
          <w:sz w:val="22"/>
          <w:szCs w:val="20"/>
        </w:rPr>
        <w:t xml:space="preserve"> are committed to identifying </w:t>
      </w:r>
      <w:r w:rsidR="006F3A67">
        <w:rPr>
          <w:rFonts w:ascii="Trebuchet MS" w:hAnsi="Trebuchet MS"/>
          <w:sz w:val="22"/>
          <w:szCs w:val="20"/>
        </w:rPr>
        <w:t>any</w:t>
      </w:r>
      <w:r w:rsidR="000922AE" w:rsidRPr="004C2C6F">
        <w:rPr>
          <w:rFonts w:ascii="Trebuchet MS" w:hAnsi="Trebuchet MS"/>
          <w:sz w:val="22"/>
          <w:szCs w:val="20"/>
        </w:rPr>
        <w:t xml:space="preserve"> constraints</w:t>
      </w:r>
      <w:r w:rsidR="006F3A67">
        <w:rPr>
          <w:rFonts w:ascii="Trebuchet MS" w:hAnsi="Trebuchet MS"/>
          <w:sz w:val="22"/>
          <w:szCs w:val="20"/>
        </w:rPr>
        <w:t xml:space="preserve"> to achieving gender equity</w:t>
      </w:r>
      <w:r w:rsidR="000922AE" w:rsidRPr="004C2C6F">
        <w:rPr>
          <w:rFonts w:ascii="Trebuchet MS" w:hAnsi="Trebuchet MS"/>
          <w:sz w:val="22"/>
          <w:szCs w:val="20"/>
        </w:rPr>
        <w:t xml:space="preserve"> and wo</w:t>
      </w:r>
      <w:r w:rsidR="006F3A67">
        <w:rPr>
          <w:rFonts w:ascii="Trebuchet MS" w:hAnsi="Trebuchet MS"/>
          <w:sz w:val="22"/>
          <w:szCs w:val="20"/>
        </w:rPr>
        <w:t>rking actively to address these.</w:t>
      </w:r>
    </w:p>
    <w:p w14:paraId="41E0F854" w14:textId="77777777" w:rsidR="002A7419" w:rsidRPr="004C2C6F" w:rsidRDefault="002A7419" w:rsidP="000922AE">
      <w:pPr>
        <w:spacing w:line="276" w:lineRule="auto"/>
        <w:jc w:val="both"/>
        <w:rPr>
          <w:rFonts w:ascii="Trebuchet MS" w:hAnsi="Trebuchet MS"/>
          <w:sz w:val="22"/>
          <w:szCs w:val="20"/>
        </w:rPr>
      </w:pPr>
      <w:r>
        <w:rPr>
          <w:rFonts w:ascii="Trebuchet MS" w:hAnsi="Trebuchet MS"/>
          <w:noProof/>
          <w:sz w:val="22"/>
          <w:szCs w:val="20"/>
        </w:rPr>
        <w:drawing>
          <wp:inline distT="0" distB="0" distL="0" distR="0" wp14:anchorId="167CCD18" wp14:editId="4CD4CA4A">
            <wp:extent cx="6124575" cy="3581400"/>
            <wp:effectExtent l="0" t="0" r="9525" b="0"/>
            <wp:docPr id="4" name="Picture 4" descr="C:\Users\lynn.barbour\AppData\Local\Microsoft\Windows\Temporary Internet Files\Content.IE5\NAZ7THGP\01_12_2017 14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barbour\AppData\Local\Microsoft\Windows\Temporary Internet Files\Content.IE5\NAZ7THGP\01_12_2017 14_2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841" b="6307"/>
                    <a:stretch/>
                  </pic:blipFill>
                  <pic:spPr bwMode="auto">
                    <a:xfrm>
                      <a:off x="0" y="0"/>
                      <a:ext cx="6120130" cy="3578801"/>
                    </a:xfrm>
                    <a:prstGeom prst="rect">
                      <a:avLst/>
                    </a:prstGeom>
                    <a:noFill/>
                    <a:ln>
                      <a:noFill/>
                    </a:ln>
                    <a:extLst>
                      <a:ext uri="{53640926-AAD7-44D8-BBD7-CCE9431645EC}">
                        <a14:shadowObscured xmlns:a14="http://schemas.microsoft.com/office/drawing/2010/main"/>
                      </a:ext>
                    </a:extLst>
                  </pic:spPr>
                </pic:pic>
              </a:graphicData>
            </a:graphic>
          </wp:inline>
        </w:drawing>
      </w:r>
    </w:p>
    <w:p w14:paraId="6EA3820F" w14:textId="77777777" w:rsidR="000922AE" w:rsidRDefault="000922AE" w:rsidP="000922AE">
      <w:pPr>
        <w:spacing w:line="276" w:lineRule="auto"/>
        <w:jc w:val="both"/>
        <w:rPr>
          <w:rFonts w:ascii="Trebuchet MS" w:hAnsi="Trebuchet MS"/>
          <w:sz w:val="22"/>
          <w:szCs w:val="20"/>
        </w:rPr>
      </w:pPr>
    </w:p>
    <w:p w14:paraId="11C16799" w14:textId="77777777" w:rsidR="004C2C6F" w:rsidRDefault="004C2C6F" w:rsidP="000922AE">
      <w:pPr>
        <w:spacing w:line="276" w:lineRule="auto"/>
        <w:jc w:val="both"/>
        <w:rPr>
          <w:rFonts w:ascii="Trebuchet MS" w:hAnsi="Trebuchet MS"/>
          <w:b/>
          <w:color w:val="DC0451"/>
          <w:sz w:val="22"/>
          <w:szCs w:val="20"/>
        </w:rPr>
      </w:pPr>
      <w:r w:rsidRPr="00445CBF">
        <w:rPr>
          <w:rFonts w:ascii="Trebuchet MS" w:hAnsi="Trebuchet MS"/>
          <w:b/>
          <w:color w:val="DC0451"/>
          <w:sz w:val="22"/>
          <w:szCs w:val="20"/>
        </w:rPr>
        <w:t>Key analysis</w:t>
      </w:r>
    </w:p>
    <w:p w14:paraId="43B00CA8" w14:textId="77777777" w:rsidR="00445CBF" w:rsidRDefault="00445CBF" w:rsidP="000922AE">
      <w:pPr>
        <w:spacing w:line="276" w:lineRule="auto"/>
        <w:jc w:val="both"/>
        <w:rPr>
          <w:rFonts w:ascii="Trebuchet MS" w:hAnsi="Trebuchet MS"/>
          <w:b/>
          <w:color w:val="DC0451"/>
          <w:sz w:val="22"/>
          <w:szCs w:val="20"/>
        </w:rPr>
      </w:pPr>
    </w:p>
    <w:p w14:paraId="53E26C16" w14:textId="77777777" w:rsidR="00445CBF" w:rsidRDefault="00445CBF" w:rsidP="004337E3">
      <w:pPr>
        <w:spacing w:after="60" w:line="276" w:lineRule="auto"/>
        <w:jc w:val="both"/>
        <w:rPr>
          <w:rFonts w:ascii="Trebuchet MS" w:hAnsi="Trebuchet MS"/>
          <w:sz w:val="22"/>
          <w:szCs w:val="20"/>
        </w:rPr>
      </w:pPr>
      <w:r w:rsidRPr="00445CBF">
        <w:rPr>
          <w:rFonts w:ascii="Trebuchet MS" w:hAnsi="Trebuchet MS"/>
          <w:sz w:val="22"/>
          <w:szCs w:val="20"/>
        </w:rPr>
        <w:t>This is the report for Leonard Cheshire Disability using the snapshot date of 5 April 2017, and applying the standard methodologies required by the Equality Act 2010 (Gender Pay Gap Information) Regulations 2017.</w:t>
      </w:r>
      <w:r w:rsidR="00391709">
        <w:rPr>
          <w:rFonts w:ascii="Trebuchet MS" w:hAnsi="Trebuchet MS"/>
          <w:sz w:val="22"/>
          <w:szCs w:val="20"/>
        </w:rPr>
        <w:t xml:space="preserve"> Leonard Cheshire does not operate a bonus scheme.</w:t>
      </w:r>
    </w:p>
    <w:tbl>
      <w:tblPr>
        <w:tblStyle w:val="TableGrid"/>
        <w:tblW w:w="0" w:type="auto"/>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6899"/>
        <w:gridCol w:w="1985"/>
      </w:tblGrid>
      <w:tr w:rsidR="00445CBF" w14:paraId="5E4EEAE5" w14:textId="77777777" w:rsidTr="004337E3">
        <w:tc>
          <w:tcPr>
            <w:tcW w:w="6899" w:type="dxa"/>
            <w:shd w:val="clear" w:color="auto" w:fill="808080" w:themeFill="background1" w:themeFillShade="80"/>
            <w:vAlign w:val="center"/>
          </w:tcPr>
          <w:p w14:paraId="305966C7" w14:textId="77777777" w:rsidR="00445CBF" w:rsidRPr="00445CBF" w:rsidRDefault="00461F4A" w:rsidP="00445CBF">
            <w:pPr>
              <w:spacing w:before="120" w:after="120"/>
              <w:rPr>
                <w:rFonts w:ascii="Trebuchet MS" w:hAnsi="Trebuchet MS"/>
                <w:color w:val="FFFFFF" w:themeColor="background1"/>
                <w:sz w:val="22"/>
                <w:szCs w:val="20"/>
              </w:rPr>
            </w:pPr>
            <w:r>
              <w:rPr>
                <w:rFonts w:ascii="FSMencap-Bold" w:hAnsi="FSMencap-Bold" w:cs="FSMencap-Bold"/>
                <w:b/>
                <w:bCs/>
                <w:color w:val="FFFFFF" w:themeColor="background1"/>
              </w:rPr>
              <w:t xml:space="preserve">Our </w:t>
            </w:r>
            <w:r w:rsidR="00445CBF" w:rsidRPr="00445CBF">
              <w:rPr>
                <w:rFonts w:ascii="FSMencap-Bold" w:hAnsi="FSMencap-Bold" w:cs="FSMencap-Bold"/>
                <w:b/>
                <w:bCs/>
                <w:color w:val="FFFFFF" w:themeColor="background1"/>
              </w:rPr>
              <w:t>Mean (average) gender pay gap</w:t>
            </w:r>
          </w:p>
        </w:tc>
        <w:tc>
          <w:tcPr>
            <w:tcW w:w="1985" w:type="dxa"/>
            <w:shd w:val="clear" w:color="auto" w:fill="D9D9D9" w:themeFill="background1" w:themeFillShade="D9"/>
            <w:vAlign w:val="center"/>
          </w:tcPr>
          <w:p w14:paraId="70C8B183" w14:textId="77777777" w:rsidR="00445CBF" w:rsidRPr="00445CBF" w:rsidRDefault="00445CBF" w:rsidP="00445CBF">
            <w:pPr>
              <w:spacing w:before="120" w:after="120"/>
              <w:jc w:val="center"/>
              <w:rPr>
                <w:rFonts w:ascii="Trebuchet MS" w:hAnsi="Trebuchet MS"/>
                <w:b/>
                <w:sz w:val="22"/>
                <w:szCs w:val="20"/>
              </w:rPr>
            </w:pPr>
            <w:r w:rsidRPr="00445CBF">
              <w:rPr>
                <w:rFonts w:ascii="Trebuchet MS" w:hAnsi="Trebuchet MS"/>
                <w:b/>
                <w:sz w:val="22"/>
                <w:szCs w:val="20"/>
              </w:rPr>
              <w:t>8.0%</w:t>
            </w:r>
          </w:p>
        </w:tc>
      </w:tr>
      <w:tr w:rsidR="00445CBF" w14:paraId="705D9CE9" w14:textId="77777777" w:rsidTr="004337E3">
        <w:tc>
          <w:tcPr>
            <w:tcW w:w="6899" w:type="dxa"/>
            <w:shd w:val="clear" w:color="auto" w:fill="808080" w:themeFill="background1" w:themeFillShade="80"/>
            <w:vAlign w:val="center"/>
          </w:tcPr>
          <w:p w14:paraId="14963A39" w14:textId="77777777" w:rsidR="00445CBF" w:rsidRPr="00445CBF" w:rsidRDefault="00461F4A" w:rsidP="00445CBF">
            <w:pPr>
              <w:spacing w:before="120" w:after="120"/>
              <w:rPr>
                <w:rFonts w:ascii="Trebuchet MS" w:hAnsi="Trebuchet MS"/>
                <w:color w:val="FFFFFF" w:themeColor="background1"/>
                <w:sz w:val="22"/>
                <w:szCs w:val="20"/>
              </w:rPr>
            </w:pPr>
            <w:r>
              <w:rPr>
                <w:rFonts w:ascii="FSMencap-Bold" w:hAnsi="FSMencap-Bold" w:cs="FSMencap-Bold"/>
                <w:b/>
                <w:bCs/>
                <w:color w:val="FFFFFF" w:themeColor="background1"/>
              </w:rPr>
              <w:t xml:space="preserve">Our </w:t>
            </w:r>
            <w:r w:rsidR="00445CBF" w:rsidRPr="00445CBF">
              <w:rPr>
                <w:rFonts w:ascii="FSMencap-Bold" w:hAnsi="FSMencap-Bold" w:cs="FSMencap-Bold"/>
                <w:b/>
                <w:bCs/>
                <w:color w:val="FFFFFF" w:themeColor="background1"/>
              </w:rPr>
              <w:t>Median (mid-point) gender pay gap</w:t>
            </w:r>
          </w:p>
        </w:tc>
        <w:tc>
          <w:tcPr>
            <w:tcW w:w="1985" w:type="dxa"/>
            <w:shd w:val="clear" w:color="auto" w:fill="D9D9D9" w:themeFill="background1" w:themeFillShade="D9"/>
            <w:vAlign w:val="center"/>
          </w:tcPr>
          <w:p w14:paraId="624446D1" w14:textId="77777777" w:rsidR="00445CBF" w:rsidRPr="00445CBF" w:rsidRDefault="00445CBF" w:rsidP="00445CBF">
            <w:pPr>
              <w:spacing w:before="120" w:after="120"/>
              <w:jc w:val="center"/>
              <w:rPr>
                <w:rFonts w:ascii="Trebuchet MS" w:hAnsi="Trebuchet MS"/>
                <w:b/>
                <w:sz w:val="22"/>
                <w:szCs w:val="20"/>
              </w:rPr>
            </w:pPr>
            <w:r w:rsidRPr="00445CBF">
              <w:rPr>
                <w:rFonts w:ascii="Trebuchet MS" w:hAnsi="Trebuchet MS"/>
                <w:b/>
                <w:sz w:val="22"/>
                <w:szCs w:val="20"/>
              </w:rPr>
              <w:t>-0.7%</w:t>
            </w:r>
          </w:p>
        </w:tc>
      </w:tr>
      <w:tr w:rsidR="002A7419" w14:paraId="1F3384F2" w14:textId="77777777" w:rsidTr="004337E3">
        <w:tc>
          <w:tcPr>
            <w:tcW w:w="6899" w:type="dxa"/>
            <w:shd w:val="clear" w:color="auto" w:fill="808080" w:themeFill="background1" w:themeFillShade="80"/>
            <w:vAlign w:val="center"/>
          </w:tcPr>
          <w:p w14:paraId="52598071" w14:textId="77777777" w:rsidR="002A7419" w:rsidRPr="00445CBF" w:rsidRDefault="00461F4A" w:rsidP="00445CBF">
            <w:pPr>
              <w:spacing w:before="120" w:after="120"/>
              <w:rPr>
                <w:rFonts w:ascii="FSMencap-Bold" w:hAnsi="FSMencap-Bold" w:cs="FSMencap-Bold"/>
                <w:b/>
                <w:bCs/>
                <w:color w:val="FFFFFF" w:themeColor="background1"/>
              </w:rPr>
            </w:pPr>
            <w:r>
              <w:rPr>
                <w:rFonts w:ascii="FSMencap-Bold" w:hAnsi="FSMencap-Bold" w:cs="FSMencap-Bold"/>
                <w:b/>
                <w:bCs/>
                <w:color w:val="FFFFFF" w:themeColor="background1"/>
              </w:rPr>
              <w:t xml:space="preserve">UK </w:t>
            </w:r>
            <w:r w:rsidR="00DF2D6D">
              <w:rPr>
                <w:rFonts w:ascii="FSMencap-Bold" w:hAnsi="FSMencap-Bold" w:cs="FSMencap-Bold"/>
                <w:b/>
                <w:bCs/>
                <w:color w:val="FFFFFF" w:themeColor="background1"/>
              </w:rPr>
              <w:t>National mean (average) gender pay gap</w:t>
            </w:r>
            <w:r w:rsidR="004337E3">
              <w:rPr>
                <w:rFonts w:ascii="FSMencap-Bold" w:hAnsi="FSMencap-Bold" w:cs="FSMencap-Bold"/>
                <w:b/>
                <w:bCs/>
                <w:color w:val="FFFFFF" w:themeColor="background1"/>
              </w:rPr>
              <w:t xml:space="preserve"> – all employees</w:t>
            </w:r>
            <w:r w:rsidR="00DF2D6D">
              <w:rPr>
                <w:rFonts w:ascii="FSMencap-Bold" w:hAnsi="FSMencap-Bold" w:cs="FSMencap-Bold"/>
                <w:b/>
                <w:bCs/>
                <w:color w:val="FFFFFF" w:themeColor="background1"/>
              </w:rPr>
              <w:t>*</w:t>
            </w:r>
          </w:p>
        </w:tc>
        <w:tc>
          <w:tcPr>
            <w:tcW w:w="1985" w:type="dxa"/>
            <w:shd w:val="clear" w:color="auto" w:fill="D9D9D9" w:themeFill="background1" w:themeFillShade="D9"/>
            <w:vAlign w:val="center"/>
          </w:tcPr>
          <w:p w14:paraId="4EA15B2C" w14:textId="77777777" w:rsidR="002A7419" w:rsidRPr="00445CBF" w:rsidRDefault="00DF2D6D" w:rsidP="00445CBF">
            <w:pPr>
              <w:spacing w:before="120" w:after="120"/>
              <w:jc w:val="center"/>
              <w:rPr>
                <w:rFonts w:ascii="Trebuchet MS" w:hAnsi="Trebuchet MS"/>
                <w:b/>
                <w:sz w:val="22"/>
                <w:szCs w:val="20"/>
              </w:rPr>
            </w:pPr>
            <w:r>
              <w:rPr>
                <w:rFonts w:ascii="Trebuchet MS" w:hAnsi="Trebuchet MS"/>
                <w:b/>
                <w:sz w:val="22"/>
                <w:szCs w:val="20"/>
              </w:rPr>
              <w:t>18.1%</w:t>
            </w:r>
          </w:p>
        </w:tc>
      </w:tr>
    </w:tbl>
    <w:p w14:paraId="16800937" w14:textId="77777777" w:rsidR="00445CBF" w:rsidRPr="004337E3" w:rsidRDefault="00DF2D6D" w:rsidP="00445CBF">
      <w:pPr>
        <w:spacing w:line="276" w:lineRule="auto"/>
        <w:jc w:val="both"/>
        <w:rPr>
          <w:rFonts w:ascii="Trebuchet MS" w:hAnsi="Trebuchet MS"/>
          <w:sz w:val="20"/>
          <w:szCs w:val="20"/>
        </w:rPr>
      </w:pPr>
      <w:r w:rsidRPr="004337E3">
        <w:rPr>
          <w:rFonts w:ascii="Trebuchet MS" w:hAnsi="Trebuchet MS"/>
          <w:sz w:val="20"/>
          <w:szCs w:val="20"/>
        </w:rPr>
        <w:t>* Office of National Statistics</w:t>
      </w:r>
    </w:p>
    <w:p w14:paraId="48EE3987" w14:textId="77777777" w:rsidR="004337E3" w:rsidRPr="004337E3" w:rsidRDefault="004337E3" w:rsidP="00445CBF">
      <w:pPr>
        <w:spacing w:line="276" w:lineRule="auto"/>
        <w:jc w:val="both"/>
        <w:rPr>
          <w:rFonts w:ascii="Trebuchet MS" w:hAnsi="Trebuchet MS"/>
          <w:sz w:val="16"/>
          <w:szCs w:val="20"/>
        </w:rPr>
      </w:pPr>
    </w:p>
    <w:tbl>
      <w:tblPr>
        <w:tblStyle w:val="TableGrid"/>
        <w:tblW w:w="9781"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221"/>
        <w:gridCol w:w="1221"/>
        <w:gridCol w:w="1221"/>
        <w:gridCol w:w="6118"/>
      </w:tblGrid>
      <w:tr w:rsidR="00C760A8" w:rsidRPr="005D0329" w14:paraId="7F55D643" w14:textId="77777777" w:rsidTr="00C760A8">
        <w:tc>
          <w:tcPr>
            <w:tcW w:w="1221" w:type="dxa"/>
            <w:shd w:val="clear" w:color="auto" w:fill="808080" w:themeFill="background1" w:themeFillShade="80"/>
            <w:vAlign w:val="center"/>
          </w:tcPr>
          <w:p w14:paraId="7621D2DF" w14:textId="77777777" w:rsidR="00C760A8" w:rsidRPr="005D0329" w:rsidRDefault="00C760A8" w:rsidP="00C760A8">
            <w:pPr>
              <w:spacing w:before="120" w:after="120"/>
              <w:jc w:val="center"/>
              <w:rPr>
                <w:rFonts w:ascii="Trebuchet MS" w:hAnsi="Trebuchet MS"/>
                <w:b/>
                <w:color w:val="FFFFFF" w:themeColor="background1"/>
                <w:sz w:val="22"/>
                <w:szCs w:val="20"/>
              </w:rPr>
            </w:pPr>
            <w:r w:rsidRPr="005D0329">
              <w:rPr>
                <w:rFonts w:ascii="Trebuchet MS" w:hAnsi="Trebuchet MS"/>
                <w:b/>
                <w:color w:val="FFFFFF" w:themeColor="background1"/>
                <w:sz w:val="22"/>
                <w:szCs w:val="20"/>
              </w:rPr>
              <w:lastRenderedPageBreak/>
              <w:t>Band</w:t>
            </w:r>
          </w:p>
        </w:tc>
        <w:tc>
          <w:tcPr>
            <w:tcW w:w="1221" w:type="dxa"/>
            <w:shd w:val="clear" w:color="auto" w:fill="808080" w:themeFill="background1" w:themeFillShade="80"/>
            <w:vAlign w:val="center"/>
          </w:tcPr>
          <w:p w14:paraId="0AA3A542" w14:textId="77777777" w:rsidR="00C760A8" w:rsidRPr="005D0329" w:rsidRDefault="00C760A8" w:rsidP="00C760A8">
            <w:pPr>
              <w:spacing w:before="120" w:after="120"/>
              <w:jc w:val="center"/>
              <w:rPr>
                <w:rFonts w:ascii="Trebuchet MS" w:hAnsi="Trebuchet MS"/>
                <w:b/>
                <w:color w:val="FFFFFF" w:themeColor="background1"/>
                <w:sz w:val="22"/>
                <w:szCs w:val="20"/>
              </w:rPr>
            </w:pPr>
            <w:r>
              <w:rPr>
                <w:rFonts w:ascii="Trebuchet MS" w:hAnsi="Trebuchet MS"/>
                <w:b/>
                <w:color w:val="FFFFFF" w:themeColor="background1"/>
                <w:sz w:val="22"/>
                <w:szCs w:val="20"/>
              </w:rPr>
              <w:t>Female</w:t>
            </w:r>
          </w:p>
        </w:tc>
        <w:tc>
          <w:tcPr>
            <w:tcW w:w="1221" w:type="dxa"/>
            <w:shd w:val="clear" w:color="auto" w:fill="808080" w:themeFill="background1" w:themeFillShade="80"/>
            <w:vAlign w:val="center"/>
          </w:tcPr>
          <w:p w14:paraId="43078C59" w14:textId="77777777" w:rsidR="00C760A8" w:rsidRPr="005D0329" w:rsidRDefault="00C760A8" w:rsidP="00C760A8">
            <w:pPr>
              <w:spacing w:before="120" w:after="120"/>
              <w:jc w:val="center"/>
              <w:rPr>
                <w:rFonts w:ascii="Trebuchet MS" w:hAnsi="Trebuchet MS"/>
                <w:b/>
                <w:color w:val="FFFFFF" w:themeColor="background1"/>
                <w:sz w:val="22"/>
                <w:szCs w:val="20"/>
              </w:rPr>
            </w:pPr>
            <w:r>
              <w:rPr>
                <w:rFonts w:ascii="Trebuchet MS" w:hAnsi="Trebuchet MS"/>
                <w:b/>
                <w:color w:val="FFFFFF" w:themeColor="background1"/>
                <w:sz w:val="22"/>
                <w:szCs w:val="20"/>
              </w:rPr>
              <w:t>Male</w:t>
            </w:r>
          </w:p>
        </w:tc>
        <w:tc>
          <w:tcPr>
            <w:tcW w:w="6118" w:type="dxa"/>
            <w:shd w:val="clear" w:color="auto" w:fill="808080" w:themeFill="background1" w:themeFillShade="80"/>
            <w:vAlign w:val="center"/>
          </w:tcPr>
          <w:p w14:paraId="13A01517" w14:textId="77777777" w:rsidR="00C760A8" w:rsidRPr="005D0329" w:rsidRDefault="00C760A8" w:rsidP="00C760A8">
            <w:pPr>
              <w:spacing w:before="120" w:after="120"/>
              <w:jc w:val="center"/>
              <w:rPr>
                <w:rFonts w:ascii="Trebuchet MS" w:hAnsi="Trebuchet MS"/>
                <w:b/>
                <w:color w:val="FFFFFF" w:themeColor="background1"/>
                <w:sz w:val="22"/>
                <w:szCs w:val="20"/>
              </w:rPr>
            </w:pPr>
            <w:r>
              <w:rPr>
                <w:rFonts w:ascii="Trebuchet MS" w:hAnsi="Trebuchet MS"/>
                <w:b/>
                <w:color w:val="FFFFFF" w:themeColor="background1"/>
                <w:sz w:val="22"/>
                <w:szCs w:val="20"/>
              </w:rPr>
              <w:t>Description</w:t>
            </w:r>
          </w:p>
        </w:tc>
      </w:tr>
      <w:tr w:rsidR="00C760A8" w14:paraId="39D94AEC" w14:textId="77777777" w:rsidTr="00C760A8">
        <w:tc>
          <w:tcPr>
            <w:tcW w:w="1221" w:type="dxa"/>
            <w:shd w:val="clear" w:color="auto" w:fill="D9D9D9" w:themeFill="background1" w:themeFillShade="D9"/>
            <w:vAlign w:val="center"/>
          </w:tcPr>
          <w:p w14:paraId="1B09D06A" w14:textId="77777777" w:rsidR="00C760A8" w:rsidRPr="005D0329" w:rsidRDefault="00C760A8" w:rsidP="00C760A8">
            <w:pPr>
              <w:spacing w:before="120" w:after="120"/>
              <w:jc w:val="center"/>
              <w:rPr>
                <w:rFonts w:ascii="Trebuchet MS" w:hAnsi="Trebuchet MS"/>
                <w:b/>
                <w:sz w:val="22"/>
                <w:szCs w:val="20"/>
              </w:rPr>
            </w:pPr>
            <w:r w:rsidRPr="005D0329">
              <w:rPr>
                <w:rFonts w:ascii="Trebuchet MS" w:hAnsi="Trebuchet MS"/>
                <w:b/>
                <w:sz w:val="22"/>
                <w:szCs w:val="20"/>
              </w:rPr>
              <w:t>A</w:t>
            </w:r>
          </w:p>
        </w:tc>
        <w:tc>
          <w:tcPr>
            <w:tcW w:w="1221" w:type="dxa"/>
            <w:shd w:val="clear" w:color="auto" w:fill="D9D9D9" w:themeFill="background1" w:themeFillShade="D9"/>
            <w:vAlign w:val="center"/>
          </w:tcPr>
          <w:p w14:paraId="628D2096" w14:textId="77777777" w:rsidR="00C760A8" w:rsidRDefault="00C760A8" w:rsidP="00C760A8">
            <w:pPr>
              <w:spacing w:before="120" w:after="120"/>
              <w:jc w:val="center"/>
              <w:rPr>
                <w:rFonts w:ascii="Trebuchet MS" w:hAnsi="Trebuchet MS"/>
                <w:sz w:val="22"/>
                <w:szCs w:val="20"/>
              </w:rPr>
            </w:pPr>
            <w:r>
              <w:rPr>
                <w:rFonts w:ascii="Trebuchet MS" w:hAnsi="Trebuchet MS"/>
                <w:sz w:val="22"/>
                <w:szCs w:val="20"/>
              </w:rPr>
              <w:t>77%</w:t>
            </w:r>
          </w:p>
        </w:tc>
        <w:tc>
          <w:tcPr>
            <w:tcW w:w="1221" w:type="dxa"/>
            <w:shd w:val="clear" w:color="auto" w:fill="D9D9D9" w:themeFill="background1" w:themeFillShade="D9"/>
            <w:vAlign w:val="center"/>
          </w:tcPr>
          <w:p w14:paraId="5B280F87" w14:textId="77777777" w:rsidR="00C760A8" w:rsidRDefault="00C760A8" w:rsidP="00C760A8">
            <w:pPr>
              <w:spacing w:before="120" w:after="120"/>
              <w:jc w:val="center"/>
              <w:rPr>
                <w:rFonts w:ascii="Trebuchet MS" w:hAnsi="Trebuchet MS"/>
                <w:sz w:val="22"/>
                <w:szCs w:val="20"/>
              </w:rPr>
            </w:pPr>
            <w:r>
              <w:rPr>
                <w:rFonts w:ascii="Trebuchet MS" w:hAnsi="Trebuchet MS"/>
                <w:sz w:val="22"/>
                <w:szCs w:val="20"/>
              </w:rPr>
              <w:t>23%</w:t>
            </w:r>
          </w:p>
        </w:tc>
        <w:tc>
          <w:tcPr>
            <w:tcW w:w="6118" w:type="dxa"/>
            <w:shd w:val="clear" w:color="auto" w:fill="D9D9D9" w:themeFill="background1" w:themeFillShade="D9"/>
            <w:vAlign w:val="center"/>
          </w:tcPr>
          <w:p w14:paraId="2AE8A39B" w14:textId="77777777" w:rsidR="00C760A8" w:rsidRDefault="00C760A8" w:rsidP="00C760A8">
            <w:pPr>
              <w:spacing w:before="120" w:after="120"/>
              <w:jc w:val="center"/>
              <w:rPr>
                <w:rFonts w:ascii="Trebuchet MS" w:hAnsi="Trebuchet MS"/>
                <w:sz w:val="22"/>
                <w:szCs w:val="20"/>
              </w:rPr>
            </w:pPr>
            <w:r w:rsidRPr="005D0329">
              <w:rPr>
                <w:rFonts w:ascii="Trebuchet MS" w:hAnsi="Trebuchet MS"/>
                <w:sz w:val="22"/>
                <w:szCs w:val="20"/>
              </w:rPr>
              <w:t>Includes all employees whose</w:t>
            </w:r>
            <w:r>
              <w:rPr>
                <w:rFonts w:ascii="Trebuchet MS" w:hAnsi="Trebuchet MS"/>
                <w:sz w:val="22"/>
                <w:szCs w:val="20"/>
              </w:rPr>
              <w:t xml:space="preserve"> </w:t>
            </w:r>
            <w:r w:rsidRPr="005D0329">
              <w:rPr>
                <w:rFonts w:ascii="Trebuchet MS" w:hAnsi="Trebuchet MS"/>
                <w:sz w:val="22"/>
                <w:szCs w:val="20"/>
              </w:rPr>
              <w:t>standard hourly rate places</w:t>
            </w:r>
            <w:r>
              <w:rPr>
                <w:rFonts w:ascii="Trebuchet MS" w:hAnsi="Trebuchet MS"/>
                <w:sz w:val="22"/>
                <w:szCs w:val="20"/>
              </w:rPr>
              <w:t xml:space="preserve"> them in </w:t>
            </w:r>
            <w:r w:rsidRPr="005D0329">
              <w:rPr>
                <w:rFonts w:ascii="Trebuchet MS" w:hAnsi="Trebuchet MS"/>
                <w:sz w:val="22"/>
                <w:szCs w:val="20"/>
              </w:rPr>
              <w:t>the lower</w:t>
            </w:r>
            <w:r>
              <w:rPr>
                <w:rFonts w:ascii="Trebuchet MS" w:hAnsi="Trebuchet MS"/>
                <w:sz w:val="22"/>
                <w:szCs w:val="20"/>
              </w:rPr>
              <w:t xml:space="preserve"> </w:t>
            </w:r>
            <w:r w:rsidRPr="005D0329">
              <w:rPr>
                <w:rFonts w:ascii="Trebuchet MS" w:hAnsi="Trebuchet MS"/>
                <w:sz w:val="22"/>
                <w:szCs w:val="20"/>
              </w:rPr>
              <w:t>quartile</w:t>
            </w:r>
            <w:r>
              <w:rPr>
                <w:rFonts w:ascii="Trebuchet MS" w:hAnsi="Trebuchet MS"/>
                <w:sz w:val="22"/>
                <w:szCs w:val="20"/>
              </w:rPr>
              <w:t xml:space="preserve"> group</w:t>
            </w:r>
          </w:p>
        </w:tc>
      </w:tr>
      <w:tr w:rsidR="00C760A8" w14:paraId="5F57A677" w14:textId="77777777" w:rsidTr="00C760A8">
        <w:tc>
          <w:tcPr>
            <w:tcW w:w="1221" w:type="dxa"/>
            <w:shd w:val="clear" w:color="auto" w:fill="D9D9D9" w:themeFill="background1" w:themeFillShade="D9"/>
            <w:vAlign w:val="center"/>
          </w:tcPr>
          <w:p w14:paraId="601C22DD" w14:textId="77777777" w:rsidR="00C760A8" w:rsidRPr="005D0329" w:rsidRDefault="00C760A8" w:rsidP="00C760A8">
            <w:pPr>
              <w:spacing w:before="120" w:after="120"/>
              <w:jc w:val="center"/>
              <w:rPr>
                <w:rFonts w:ascii="Trebuchet MS" w:hAnsi="Trebuchet MS"/>
                <w:b/>
                <w:sz w:val="22"/>
                <w:szCs w:val="20"/>
              </w:rPr>
            </w:pPr>
            <w:r w:rsidRPr="005D0329">
              <w:rPr>
                <w:rFonts w:ascii="Trebuchet MS" w:hAnsi="Trebuchet MS"/>
                <w:b/>
                <w:sz w:val="22"/>
                <w:szCs w:val="20"/>
              </w:rPr>
              <w:t>B</w:t>
            </w:r>
          </w:p>
        </w:tc>
        <w:tc>
          <w:tcPr>
            <w:tcW w:w="1221" w:type="dxa"/>
            <w:shd w:val="clear" w:color="auto" w:fill="D9D9D9" w:themeFill="background1" w:themeFillShade="D9"/>
            <w:vAlign w:val="center"/>
          </w:tcPr>
          <w:p w14:paraId="32725E0A" w14:textId="77777777" w:rsidR="00C760A8" w:rsidRDefault="00C760A8" w:rsidP="00C760A8">
            <w:pPr>
              <w:spacing w:before="120" w:after="120"/>
              <w:jc w:val="center"/>
              <w:rPr>
                <w:rFonts w:ascii="Trebuchet MS" w:hAnsi="Trebuchet MS"/>
                <w:sz w:val="22"/>
                <w:szCs w:val="20"/>
              </w:rPr>
            </w:pPr>
            <w:r>
              <w:rPr>
                <w:rFonts w:ascii="Trebuchet MS" w:hAnsi="Trebuchet MS"/>
                <w:sz w:val="22"/>
                <w:szCs w:val="20"/>
              </w:rPr>
              <w:t>79%</w:t>
            </w:r>
          </w:p>
        </w:tc>
        <w:tc>
          <w:tcPr>
            <w:tcW w:w="1221" w:type="dxa"/>
            <w:shd w:val="clear" w:color="auto" w:fill="D9D9D9" w:themeFill="background1" w:themeFillShade="D9"/>
            <w:vAlign w:val="center"/>
          </w:tcPr>
          <w:p w14:paraId="688E72BB" w14:textId="77777777" w:rsidR="00C760A8" w:rsidRDefault="00C760A8" w:rsidP="00C760A8">
            <w:pPr>
              <w:spacing w:before="120" w:after="120"/>
              <w:jc w:val="center"/>
              <w:rPr>
                <w:rFonts w:ascii="Trebuchet MS" w:hAnsi="Trebuchet MS"/>
                <w:sz w:val="22"/>
                <w:szCs w:val="20"/>
              </w:rPr>
            </w:pPr>
            <w:r>
              <w:rPr>
                <w:rFonts w:ascii="Trebuchet MS" w:hAnsi="Trebuchet MS"/>
                <w:sz w:val="22"/>
                <w:szCs w:val="20"/>
              </w:rPr>
              <w:t>21%</w:t>
            </w:r>
          </w:p>
        </w:tc>
        <w:tc>
          <w:tcPr>
            <w:tcW w:w="6118" w:type="dxa"/>
            <w:shd w:val="clear" w:color="auto" w:fill="D9D9D9" w:themeFill="background1" w:themeFillShade="D9"/>
            <w:vAlign w:val="center"/>
          </w:tcPr>
          <w:p w14:paraId="3BD46C9D" w14:textId="77777777" w:rsidR="00C760A8" w:rsidRDefault="00C760A8" w:rsidP="00C760A8">
            <w:pPr>
              <w:spacing w:before="120" w:after="120"/>
              <w:jc w:val="center"/>
              <w:rPr>
                <w:rFonts w:ascii="Trebuchet MS" w:hAnsi="Trebuchet MS"/>
                <w:sz w:val="22"/>
                <w:szCs w:val="20"/>
              </w:rPr>
            </w:pPr>
            <w:r w:rsidRPr="005D0329">
              <w:rPr>
                <w:rFonts w:ascii="Trebuchet MS" w:hAnsi="Trebuchet MS"/>
                <w:sz w:val="22"/>
                <w:szCs w:val="20"/>
              </w:rPr>
              <w:t>Includes all employees whose standard hourly rate places them above the lower quartile but at or below the median</w:t>
            </w:r>
          </w:p>
        </w:tc>
      </w:tr>
      <w:tr w:rsidR="00C760A8" w14:paraId="2C0E2468" w14:textId="77777777" w:rsidTr="00C760A8">
        <w:tc>
          <w:tcPr>
            <w:tcW w:w="1221" w:type="dxa"/>
            <w:shd w:val="clear" w:color="auto" w:fill="D9D9D9" w:themeFill="background1" w:themeFillShade="D9"/>
            <w:vAlign w:val="center"/>
          </w:tcPr>
          <w:p w14:paraId="4099FE7E" w14:textId="77777777" w:rsidR="00C760A8" w:rsidRPr="005D0329" w:rsidRDefault="00C760A8" w:rsidP="00C760A8">
            <w:pPr>
              <w:spacing w:before="120" w:after="120"/>
              <w:jc w:val="center"/>
              <w:rPr>
                <w:rFonts w:ascii="Trebuchet MS" w:hAnsi="Trebuchet MS"/>
                <w:b/>
                <w:sz w:val="22"/>
                <w:szCs w:val="20"/>
              </w:rPr>
            </w:pPr>
            <w:r w:rsidRPr="005D0329">
              <w:rPr>
                <w:rFonts w:ascii="Trebuchet MS" w:hAnsi="Trebuchet MS"/>
                <w:b/>
                <w:sz w:val="22"/>
                <w:szCs w:val="20"/>
              </w:rPr>
              <w:t>C</w:t>
            </w:r>
          </w:p>
        </w:tc>
        <w:tc>
          <w:tcPr>
            <w:tcW w:w="1221" w:type="dxa"/>
            <w:shd w:val="clear" w:color="auto" w:fill="D9D9D9" w:themeFill="background1" w:themeFillShade="D9"/>
            <w:vAlign w:val="center"/>
          </w:tcPr>
          <w:p w14:paraId="6EC50AC0" w14:textId="77777777" w:rsidR="00C760A8" w:rsidRDefault="00C760A8" w:rsidP="00C760A8">
            <w:pPr>
              <w:spacing w:before="120" w:after="120"/>
              <w:jc w:val="center"/>
              <w:rPr>
                <w:rFonts w:ascii="Trebuchet MS" w:hAnsi="Trebuchet MS"/>
                <w:sz w:val="22"/>
                <w:szCs w:val="20"/>
              </w:rPr>
            </w:pPr>
            <w:r>
              <w:rPr>
                <w:rFonts w:ascii="Trebuchet MS" w:hAnsi="Trebuchet MS"/>
                <w:sz w:val="22"/>
                <w:szCs w:val="20"/>
              </w:rPr>
              <w:t>82%</w:t>
            </w:r>
          </w:p>
        </w:tc>
        <w:tc>
          <w:tcPr>
            <w:tcW w:w="1221" w:type="dxa"/>
            <w:shd w:val="clear" w:color="auto" w:fill="D9D9D9" w:themeFill="background1" w:themeFillShade="D9"/>
            <w:vAlign w:val="center"/>
          </w:tcPr>
          <w:p w14:paraId="183A65EF" w14:textId="77777777" w:rsidR="00C760A8" w:rsidRDefault="00C760A8" w:rsidP="00C760A8">
            <w:pPr>
              <w:spacing w:before="120" w:after="120"/>
              <w:jc w:val="center"/>
              <w:rPr>
                <w:rFonts w:ascii="Trebuchet MS" w:hAnsi="Trebuchet MS"/>
                <w:sz w:val="22"/>
                <w:szCs w:val="20"/>
              </w:rPr>
            </w:pPr>
            <w:r>
              <w:rPr>
                <w:rFonts w:ascii="Trebuchet MS" w:hAnsi="Trebuchet MS"/>
                <w:sz w:val="22"/>
                <w:szCs w:val="20"/>
              </w:rPr>
              <w:t>18%</w:t>
            </w:r>
          </w:p>
        </w:tc>
        <w:tc>
          <w:tcPr>
            <w:tcW w:w="6118" w:type="dxa"/>
            <w:shd w:val="clear" w:color="auto" w:fill="D9D9D9" w:themeFill="background1" w:themeFillShade="D9"/>
            <w:vAlign w:val="center"/>
          </w:tcPr>
          <w:p w14:paraId="136530CF" w14:textId="77777777" w:rsidR="00C760A8" w:rsidRDefault="00C760A8" w:rsidP="00C760A8">
            <w:pPr>
              <w:spacing w:before="120" w:after="120"/>
              <w:jc w:val="center"/>
              <w:rPr>
                <w:rFonts w:ascii="Trebuchet MS" w:hAnsi="Trebuchet MS"/>
                <w:sz w:val="22"/>
                <w:szCs w:val="20"/>
              </w:rPr>
            </w:pPr>
            <w:r w:rsidRPr="005D0329">
              <w:rPr>
                <w:rFonts w:ascii="Trebuchet MS" w:hAnsi="Trebuchet MS"/>
                <w:sz w:val="22"/>
                <w:szCs w:val="20"/>
              </w:rPr>
              <w:t>Includes all employees whose standard hourly rate places them above the median but at or below the upper quartile</w:t>
            </w:r>
          </w:p>
        </w:tc>
      </w:tr>
      <w:tr w:rsidR="00C760A8" w14:paraId="0027C380" w14:textId="77777777" w:rsidTr="00C760A8">
        <w:tc>
          <w:tcPr>
            <w:tcW w:w="1221" w:type="dxa"/>
            <w:shd w:val="clear" w:color="auto" w:fill="D9D9D9" w:themeFill="background1" w:themeFillShade="D9"/>
            <w:vAlign w:val="center"/>
          </w:tcPr>
          <w:p w14:paraId="35976DE4" w14:textId="77777777" w:rsidR="00C760A8" w:rsidRPr="00DF2D6D" w:rsidRDefault="00C760A8" w:rsidP="00C760A8">
            <w:pPr>
              <w:spacing w:before="120" w:after="120"/>
              <w:jc w:val="center"/>
              <w:rPr>
                <w:rFonts w:ascii="Trebuchet MS" w:hAnsi="Trebuchet MS"/>
                <w:b/>
                <w:sz w:val="22"/>
                <w:szCs w:val="20"/>
              </w:rPr>
            </w:pPr>
            <w:r w:rsidRPr="00DF2D6D">
              <w:rPr>
                <w:rFonts w:ascii="Trebuchet MS" w:hAnsi="Trebuchet MS"/>
                <w:b/>
                <w:sz w:val="22"/>
                <w:szCs w:val="20"/>
              </w:rPr>
              <w:t>D</w:t>
            </w:r>
          </w:p>
        </w:tc>
        <w:tc>
          <w:tcPr>
            <w:tcW w:w="1221" w:type="dxa"/>
            <w:shd w:val="clear" w:color="auto" w:fill="D9D9D9" w:themeFill="background1" w:themeFillShade="D9"/>
            <w:vAlign w:val="center"/>
          </w:tcPr>
          <w:p w14:paraId="0D5FA1F1" w14:textId="77777777" w:rsidR="00C760A8" w:rsidRDefault="00C760A8" w:rsidP="00C760A8">
            <w:pPr>
              <w:spacing w:before="120" w:after="120"/>
              <w:jc w:val="center"/>
              <w:rPr>
                <w:rFonts w:ascii="Trebuchet MS" w:hAnsi="Trebuchet MS"/>
                <w:sz w:val="22"/>
                <w:szCs w:val="20"/>
              </w:rPr>
            </w:pPr>
            <w:r>
              <w:rPr>
                <w:rFonts w:ascii="Trebuchet MS" w:hAnsi="Trebuchet MS"/>
                <w:sz w:val="22"/>
                <w:szCs w:val="20"/>
              </w:rPr>
              <w:t>78%</w:t>
            </w:r>
          </w:p>
        </w:tc>
        <w:tc>
          <w:tcPr>
            <w:tcW w:w="1221" w:type="dxa"/>
            <w:shd w:val="clear" w:color="auto" w:fill="D9D9D9" w:themeFill="background1" w:themeFillShade="D9"/>
            <w:vAlign w:val="center"/>
          </w:tcPr>
          <w:p w14:paraId="28D4536C" w14:textId="77777777" w:rsidR="00C760A8" w:rsidRDefault="00C760A8" w:rsidP="00C760A8">
            <w:pPr>
              <w:spacing w:before="120" w:after="120"/>
              <w:jc w:val="center"/>
              <w:rPr>
                <w:rFonts w:ascii="Trebuchet MS" w:hAnsi="Trebuchet MS"/>
                <w:sz w:val="22"/>
                <w:szCs w:val="20"/>
              </w:rPr>
            </w:pPr>
            <w:r>
              <w:rPr>
                <w:rFonts w:ascii="Trebuchet MS" w:hAnsi="Trebuchet MS"/>
                <w:sz w:val="22"/>
                <w:szCs w:val="20"/>
              </w:rPr>
              <w:t>22%</w:t>
            </w:r>
          </w:p>
        </w:tc>
        <w:tc>
          <w:tcPr>
            <w:tcW w:w="6118" w:type="dxa"/>
            <w:shd w:val="clear" w:color="auto" w:fill="D9D9D9" w:themeFill="background1" w:themeFillShade="D9"/>
            <w:vAlign w:val="center"/>
          </w:tcPr>
          <w:p w14:paraId="74912AE7" w14:textId="77777777" w:rsidR="00C760A8" w:rsidRPr="005D0329" w:rsidRDefault="00C760A8" w:rsidP="00C760A8">
            <w:pPr>
              <w:spacing w:before="120" w:after="120"/>
              <w:jc w:val="center"/>
              <w:rPr>
                <w:rFonts w:ascii="Trebuchet MS" w:hAnsi="Trebuchet MS"/>
                <w:sz w:val="22"/>
                <w:szCs w:val="20"/>
              </w:rPr>
            </w:pPr>
            <w:r w:rsidRPr="005D0329">
              <w:rPr>
                <w:rFonts w:ascii="Trebuchet MS" w:hAnsi="Trebuchet MS"/>
                <w:sz w:val="22"/>
                <w:szCs w:val="20"/>
              </w:rPr>
              <w:t xml:space="preserve">Includes all employees whose standard hourly rate places them </w:t>
            </w:r>
            <w:r>
              <w:rPr>
                <w:rFonts w:ascii="Trebuchet MS" w:hAnsi="Trebuchet MS"/>
                <w:sz w:val="22"/>
                <w:szCs w:val="20"/>
              </w:rPr>
              <w:t>in</w:t>
            </w:r>
            <w:r w:rsidRPr="005D0329">
              <w:rPr>
                <w:rFonts w:ascii="Trebuchet MS" w:hAnsi="Trebuchet MS"/>
                <w:sz w:val="22"/>
                <w:szCs w:val="20"/>
              </w:rPr>
              <w:t xml:space="preserve"> the upper quartile</w:t>
            </w:r>
            <w:r>
              <w:rPr>
                <w:rFonts w:ascii="Trebuchet MS" w:hAnsi="Trebuchet MS"/>
                <w:sz w:val="22"/>
                <w:szCs w:val="20"/>
              </w:rPr>
              <w:t xml:space="preserve"> group</w:t>
            </w:r>
          </w:p>
        </w:tc>
      </w:tr>
    </w:tbl>
    <w:p w14:paraId="1083C86A" w14:textId="77777777" w:rsidR="00445CBF" w:rsidRPr="00445CBF" w:rsidRDefault="00445CBF" w:rsidP="000922AE">
      <w:pPr>
        <w:spacing w:line="276" w:lineRule="auto"/>
        <w:jc w:val="both"/>
        <w:rPr>
          <w:rFonts w:ascii="Trebuchet MS" w:hAnsi="Trebuchet MS"/>
          <w:sz w:val="22"/>
          <w:szCs w:val="20"/>
        </w:rPr>
      </w:pPr>
    </w:p>
    <w:p w14:paraId="2AAC45DB" w14:textId="77777777" w:rsidR="00445CBF" w:rsidRDefault="00391709" w:rsidP="000922AE">
      <w:pPr>
        <w:spacing w:line="276" w:lineRule="auto"/>
        <w:jc w:val="both"/>
        <w:rPr>
          <w:rFonts w:ascii="Trebuchet MS" w:hAnsi="Trebuchet MS"/>
          <w:b/>
          <w:color w:val="DC0451"/>
          <w:sz w:val="22"/>
          <w:szCs w:val="20"/>
        </w:rPr>
      </w:pPr>
      <w:r>
        <w:rPr>
          <w:rFonts w:ascii="Trebuchet MS" w:hAnsi="Trebuchet MS"/>
          <w:b/>
          <w:color w:val="DC0451"/>
          <w:sz w:val="22"/>
          <w:szCs w:val="20"/>
        </w:rPr>
        <w:t>What are the underlying causes of Leonard Cheshire Disability’s gender pay gap?</w:t>
      </w:r>
    </w:p>
    <w:p w14:paraId="2E009F02" w14:textId="77777777" w:rsidR="00445CBF" w:rsidRDefault="00445CBF" w:rsidP="00445CBF">
      <w:pPr>
        <w:spacing w:line="276" w:lineRule="auto"/>
        <w:jc w:val="both"/>
        <w:rPr>
          <w:rFonts w:ascii="Trebuchet MS" w:hAnsi="Trebuchet MS"/>
          <w:b/>
          <w:color w:val="DC0451"/>
          <w:sz w:val="22"/>
          <w:szCs w:val="20"/>
        </w:rPr>
      </w:pPr>
    </w:p>
    <w:p w14:paraId="68E0E179" w14:textId="77777777" w:rsidR="00391709" w:rsidRDefault="002A7419" w:rsidP="00445CBF">
      <w:pPr>
        <w:spacing w:line="276" w:lineRule="auto"/>
        <w:jc w:val="both"/>
        <w:rPr>
          <w:rFonts w:ascii="Trebuchet MS" w:hAnsi="Trebuchet MS"/>
          <w:sz w:val="22"/>
          <w:szCs w:val="20"/>
        </w:rPr>
      </w:pPr>
      <w:r>
        <w:rPr>
          <w:rFonts w:ascii="Trebuchet MS" w:hAnsi="Trebuchet MS"/>
          <w:sz w:val="22"/>
          <w:szCs w:val="20"/>
        </w:rPr>
        <w:t xml:space="preserve">The majority of employees in our organisation are women (79% across the organisation). </w:t>
      </w:r>
      <w:r w:rsidR="004337E3">
        <w:rPr>
          <w:rFonts w:ascii="Trebuchet MS" w:hAnsi="Trebuchet MS"/>
          <w:sz w:val="22"/>
          <w:szCs w:val="20"/>
        </w:rPr>
        <w:t>The largest proportion of</w:t>
      </w:r>
      <w:r>
        <w:rPr>
          <w:rFonts w:ascii="Trebuchet MS" w:hAnsi="Trebuchet MS"/>
          <w:sz w:val="22"/>
          <w:szCs w:val="20"/>
        </w:rPr>
        <w:t xml:space="preserve"> our </w:t>
      </w:r>
      <w:r w:rsidR="00391709">
        <w:rPr>
          <w:rFonts w:ascii="Trebuchet MS" w:hAnsi="Trebuchet MS"/>
          <w:sz w:val="22"/>
          <w:szCs w:val="20"/>
        </w:rPr>
        <w:t xml:space="preserve">employees are in direct care and support roles </w:t>
      </w:r>
      <w:r w:rsidR="004337E3">
        <w:rPr>
          <w:rFonts w:ascii="Trebuchet MS" w:hAnsi="Trebuchet MS"/>
          <w:sz w:val="22"/>
          <w:szCs w:val="20"/>
        </w:rPr>
        <w:t>with</w:t>
      </w:r>
      <w:r w:rsidR="00391709">
        <w:rPr>
          <w:rFonts w:ascii="Trebuchet MS" w:hAnsi="Trebuchet MS"/>
          <w:sz w:val="22"/>
          <w:szCs w:val="20"/>
        </w:rPr>
        <w:t>in our UK care operations (95% of all employees)</w:t>
      </w:r>
      <w:r w:rsidR="004337E3">
        <w:rPr>
          <w:rFonts w:ascii="Trebuchet MS" w:hAnsi="Trebuchet MS"/>
          <w:sz w:val="22"/>
          <w:szCs w:val="20"/>
        </w:rPr>
        <w:t xml:space="preserve">. </w:t>
      </w:r>
      <w:r w:rsidR="00391709">
        <w:rPr>
          <w:rFonts w:ascii="Trebuchet MS" w:hAnsi="Trebuchet MS"/>
          <w:sz w:val="22"/>
          <w:szCs w:val="20"/>
        </w:rPr>
        <w:t>These roles have historically attracted more women, and this continues to be the trend in the sector.</w:t>
      </w:r>
    </w:p>
    <w:p w14:paraId="1636BF51" w14:textId="77777777" w:rsidR="00391709" w:rsidRDefault="00391709" w:rsidP="00445CBF">
      <w:pPr>
        <w:spacing w:line="276" w:lineRule="auto"/>
        <w:jc w:val="both"/>
        <w:rPr>
          <w:rFonts w:ascii="Trebuchet MS" w:hAnsi="Trebuchet MS"/>
          <w:sz w:val="22"/>
          <w:szCs w:val="20"/>
        </w:rPr>
      </w:pPr>
    </w:p>
    <w:p w14:paraId="4D565088" w14:textId="77777777" w:rsidR="00F81564" w:rsidRDefault="000E4D51" w:rsidP="00445CBF">
      <w:pPr>
        <w:spacing w:line="276" w:lineRule="auto"/>
        <w:jc w:val="both"/>
        <w:rPr>
          <w:rFonts w:ascii="Trebuchet MS" w:hAnsi="Trebuchet MS"/>
          <w:sz w:val="22"/>
          <w:szCs w:val="20"/>
        </w:rPr>
      </w:pPr>
      <w:r>
        <w:rPr>
          <w:rFonts w:ascii="Trebuchet MS" w:hAnsi="Trebuchet MS"/>
          <w:sz w:val="22"/>
          <w:szCs w:val="20"/>
        </w:rPr>
        <w:t xml:space="preserve">The </w:t>
      </w:r>
      <w:r w:rsidR="004337E3">
        <w:rPr>
          <w:rFonts w:ascii="Trebuchet MS" w:hAnsi="Trebuchet MS"/>
          <w:sz w:val="22"/>
          <w:szCs w:val="20"/>
        </w:rPr>
        <w:t xml:space="preserve">direct </w:t>
      </w:r>
      <w:r>
        <w:rPr>
          <w:rFonts w:ascii="Trebuchet MS" w:hAnsi="Trebuchet MS"/>
          <w:sz w:val="22"/>
          <w:szCs w:val="20"/>
        </w:rPr>
        <w:t>care and support</w:t>
      </w:r>
      <w:r w:rsidR="00F81564">
        <w:rPr>
          <w:rFonts w:ascii="Trebuchet MS" w:hAnsi="Trebuchet MS"/>
          <w:sz w:val="22"/>
          <w:szCs w:val="20"/>
        </w:rPr>
        <w:t xml:space="preserve"> roles make up </w:t>
      </w:r>
      <w:r w:rsidR="00172110">
        <w:rPr>
          <w:rFonts w:ascii="Trebuchet MS" w:hAnsi="Trebuchet MS"/>
          <w:sz w:val="22"/>
          <w:szCs w:val="20"/>
        </w:rPr>
        <w:t xml:space="preserve">all of band A, B and C roles, and </w:t>
      </w:r>
      <w:r>
        <w:rPr>
          <w:rFonts w:ascii="Trebuchet MS" w:hAnsi="Trebuchet MS"/>
          <w:sz w:val="22"/>
          <w:szCs w:val="20"/>
        </w:rPr>
        <w:t>75</w:t>
      </w:r>
      <w:r w:rsidR="00172110">
        <w:rPr>
          <w:rFonts w:ascii="Trebuchet MS" w:hAnsi="Trebuchet MS"/>
          <w:sz w:val="22"/>
          <w:szCs w:val="20"/>
        </w:rPr>
        <w:t xml:space="preserve">% of band D roles. </w:t>
      </w:r>
      <w:r w:rsidR="008A3AEF">
        <w:rPr>
          <w:rFonts w:ascii="Trebuchet MS" w:hAnsi="Trebuchet MS"/>
          <w:sz w:val="22"/>
          <w:szCs w:val="20"/>
        </w:rPr>
        <w:t>They</w:t>
      </w:r>
      <w:r w:rsidR="00172110">
        <w:rPr>
          <w:rFonts w:ascii="Trebuchet MS" w:hAnsi="Trebuchet MS"/>
          <w:sz w:val="22"/>
          <w:szCs w:val="20"/>
        </w:rPr>
        <w:t xml:space="preserve"> are governed by a consistent and standardised pay framework, and </w:t>
      </w:r>
      <w:r>
        <w:rPr>
          <w:rFonts w:ascii="Trebuchet MS" w:hAnsi="Trebuchet MS"/>
          <w:sz w:val="22"/>
          <w:szCs w:val="20"/>
        </w:rPr>
        <w:t>for this group as a whole the gender pay ratios are marginally positive (median -1.5%; mean -2.7%).</w:t>
      </w:r>
    </w:p>
    <w:p w14:paraId="035C3D8A" w14:textId="77777777" w:rsidR="00391709" w:rsidRDefault="00391709" w:rsidP="00445CBF">
      <w:pPr>
        <w:spacing w:line="276" w:lineRule="auto"/>
        <w:jc w:val="both"/>
        <w:rPr>
          <w:rFonts w:ascii="Trebuchet MS" w:hAnsi="Trebuchet MS"/>
          <w:sz w:val="22"/>
          <w:szCs w:val="20"/>
        </w:rPr>
      </w:pPr>
    </w:p>
    <w:p w14:paraId="04B1793B" w14:textId="77777777" w:rsidR="002A7419" w:rsidRDefault="002A7419" w:rsidP="00445CBF">
      <w:pPr>
        <w:spacing w:line="276" w:lineRule="auto"/>
        <w:jc w:val="both"/>
        <w:rPr>
          <w:rFonts w:ascii="Trebuchet MS" w:hAnsi="Trebuchet MS"/>
          <w:sz w:val="22"/>
          <w:szCs w:val="20"/>
        </w:rPr>
      </w:pPr>
      <w:r>
        <w:rPr>
          <w:rFonts w:ascii="Trebuchet MS" w:hAnsi="Trebuchet MS"/>
          <w:sz w:val="22"/>
          <w:szCs w:val="20"/>
        </w:rPr>
        <w:t xml:space="preserve">The balance </w:t>
      </w:r>
      <w:r w:rsidR="00C760A8">
        <w:rPr>
          <w:rFonts w:ascii="Trebuchet MS" w:hAnsi="Trebuchet MS"/>
          <w:sz w:val="22"/>
          <w:szCs w:val="20"/>
        </w:rPr>
        <w:t>of our employees are salaried, and are</w:t>
      </w:r>
      <w:r>
        <w:rPr>
          <w:rFonts w:ascii="Trebuchet MS" w:hAnsi="Trebuchet MS"/>
          <w:sz w:val="22"/>
          <w:szCs w:val="20"/>
        </w:rPr>
        <w:t xml:space="preserve"> in roles which range from administrative to executive director roles, all of which fall within band D.</w:t>
      </w:r>
    </w:p>
    <w:p w14:paraId="27847259" w14:textId="77777777" w:rsidR="002A7419" w:rsidRDefault="002A7419" w:rsidP="00445CBF">
      <w:pPr>
        <w:spacing w:line="276" w:lineRule="auto"/>
        <w:jc w:val="both"/>
        <w:rPr>
          <w:rFonts w:ascii="Trebuchet MS" w:hAnsi="Trebuchet MS"/>
          <w:sz w:val="22"/>
          <w:szCs w:val="20"/>
        </w:rPr>
      </w:pPr>
    </w:p>
    <w:p w14:paraId="1F2396BA" w14:textId="77777777" w:rsidR="000E4D51" w:rsidRDefault="000E4D51" w:rsidP="00445CBF">
      <w:pPr>
        <w:spacing w:line="276" w:lineRule="auto"/>
        <w:jc w:val="both"/>
        <w:rPr>
          <w:rFonts w:ascii="Trebuchet MS" w:hAnsi="Trebuchet MS"/>
          <w:sz w:val="22"/>
          <w:szCs w:val="20"/>
        </w:rPr>
      </w:pPr>
      <w:r>
        <w:rPr>
          <w:rFonts w:ascii="Trebuchet MS" w:hAnsi="Trebuchet MS"/>
          <w:sz w:val="22"/>
          <w:szCs w:val="20"/>
        </w:rPr>
        <w:t>Our analysis has not rev</w:t>
      </w:r>
      <w:r w:rsidR="008A3AEF">
        <w:rPr>
          <w:rFonts w:ascii="Trebuchet MS" w:hAnsi="Trebuchet MS"/>
          <w:sz w:val="22"/>
          <w:szCs w:val="20"/>
        </w:rPr>
        <w:t xml:space="preserve">ealed any systemic anomalies at a role or grade level, given that our pay frameworks are based on </w:t>
      </w:r>
      <w:r w:rsidR="008A3AEF" w:rsidRPr="008A3AEF">
        <w:rPr>
          <w:rFonts w:ascii="Trebuchet MS" w:hAnsi="Trebuchet MS"/>
          <w:sz w:val="22"/>
          <w:szCs w:val="20"/>
        </w:rPr>
        <w:t>the scale and level of complexity of the respective roles, so on an equivalent (“like for like”) basis, there is pay equity.</w:t>
      </w:r>
    </w:p>
    <w:p w14:paraId="335A219B" w14:textId="77777777" w:rsidR="008A3AEF" w:rsidRDefault="008A3AEF" w:rsidP="00445CBF">
      <w:pPr>
        <w:spacing w:line="276" w:lineRule="auto"/>
        <w:jc w:val="both"/>
        <w:rPr>
          <w:rFonts w:ascii="Trebuchet MS" w:hAnsi="Trebuchet MS"/>
          <w:sz w:val="22"/>
          <w:szCs w:val="20"/>
        </w:rPr>
      </w:pPr>
    </w:p>
    <w:p w14:paraId="23C80E74" w14:textId="77777777" w:rsidR="006F3A67" w:rsidRDefault="00920738" w:rsidP="00445CBF">
      <w:pPr>
        <w:spacing w:line="276" w:lineRule="auto"/>
        <w:jc w:val="both"/>
        <w:rPr>
          <w:rFonts w:ascii="Trebuchet MS" w:hAnsi="Trebuchet MS"/>
          <w:sz w:val="22"/>
          <w:szCs w:val="20"/>
        </w:rPr>
      </w:pPr>
      <w:r>
        <w:rPr>
          <w:rFonts w:ascii="Trebuchet MS" w:hAnsi="Trebuchet MS"/>
          <w:sz w:val="22"/>
          <w:szCs w:val="20"/>
        </w:rPr>
        <w:t xml:space="preserve">While at a quartile level, the gender ratios are fairly consistent across all bands, at a more granular level, there is </w:t>
      </w:r>
      <w:r w:rsidR="008A3AEF">
        <w:rPr>
          <w:rFonts w:ascii="Trebuchet MS" w:hAnsi="Trebuchet MS"/>
          <w:sz w:val="22"/>
          <w:szCs w:val="20"/>
        </w:rPr>
        <w:t>a general tendency towards a higher ratio of women in the lower level roles, both in our care operations and in our support roles.</w:t>
      </w:r>
      <w:r w:rsidR="006F3A67">
        <w:rPr>
          <w:rFonts w:ascii="Trebuchet MS" w:hAnsi="Trebuchet MS"/>
          <w:sz w:val="22"/>
          <w:szCs w:val="20"/>
        </w:rPr>
        <w:t xml:space="preserve"> </w:t>
      </w:r>
    </w:p>
    <w:p w14:paraId="4CDF3522" w14:textId="77777777" w:rsidR="006F3A67" w:rsidRDefault="006F3A67" w:rsidP="00445CBF">
      <w:pPr>
        <w:spacing w:line="276" w:lineRule="auto"/>
        <w:jc w:val="both"/>
        <w:rPr>
          <w:rFonts w:ascii="Trebuchet MS" w:hAnsi="Trebuchet MS"/>
          <w:sz w:val="22"/>
          <w:szCs w:val="20"/>
        </w:rPr>
      </w:pPr>
    </w:p>
    <w:p w14:paraId="2A062DA6" w14:textId="77777777" w:rsidR="008A3AEF" w:rsidRDefault="006F3A67" w:rsidP="00D1449D">
      <w:pPr>
        <w:keepNext/>
        <w:spacing w:line="276" w:lineRule="auto"/>
        <w:jc w:val="both"/>
        <w:rPr>
          <w:rFonts w:ascii="Trebuchet MS" w:hAnsi="Trebuchet MS"/>
          <w:sz w:val="22"/>
          <w:szCs w:val="20"/>
        </w:rPr>
      </w:pPr>
      <w:r>
        <w:rPr>
          <w:rFonts w:ascii="Trebuchet MS" w:hAnsi="Trebuchet MS"/>
          <w:sz w:val="22"/>
          <w:szCs w:val="20"/>
        </w:rPr>
        <w:t>The gender ratios per category of role are as follows:</w:t>
      </w:r>
    </w:p>
    <w:tbl>
      <w:tblPr>
        <w:tblW w:w="5530" w:type="dxa"/>
        <w:tblInd w:w="9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207"/>
        <w:gridCol w:w="1161"/>
        <w:gridCol w:w="1162"/>
      </w:tblGrid>
      <w:tr w:rsidR="006F3A67" w:rsidRPr="006F3A67" w14:paraId="1A1E8F66" w14:textId="77777777" w:rsidTr="00C760A8">
        <w:trPr>
          <w:trHeight w:val="176"/>
        </w:trPr>
        <w:tc>
          <w:tcPr>
            <w:tcW w:w="3207" w:type="dxa"/>
            <w:shd w:val="clear" w:color="auto" w:fill="A6A6A6" w:themeFill="background1" w:themeFillShade="A6"/>
            <w:vAlign w:val="center"/>
            <w:hideMark/>
          </w:tcPr>
          <w:p w14:paraId="4A11FA0B" w14:textId="77777777" w:rsidR="006F3A67" w:rsidRPr="006F3A67" w:rsidRDefault="006F3A67" w:rsidP="00D1449D">
            <w:pPr>
              <w:keepNext/>
              <w:spacing w:before="40" w:after="40"/>
              <w:jc w:val="center"/>
              <w:rPr>
                <w:rFonts w:ascii="Trebuchet MS" w:hAnsi="Trebuchet MS"/>
                <w:b/>
                <w:bCs/>
                <w:color w:val="FFFFFF" w:themeColor="background1"/>
                <w:sz w:val="22"/>
                <w:szCs w:val="20"/>
              </w:rPr>
            </w:pPr>
            <w:r w:rsidRPr="006F3A67">
              <w:rPr>
                <w:rFonts w:ascii="Trebuchet MS" w:hAnsi="Trebuchet MS"/>
                <w:b/>
                <w:bCs/>
                <w:color w:val="FFFFFF" w:themeColor="background1"/>
                <w:sz w:val="22"/>
                <w:szCs w:val="20"/>
              </w:rPr>
              <w:t>Category</w:t>
            </w:r>
          </w:p>
        </w:tc>
        <w:tc>
          <w:tcPr>
            <w:tcW w:w="1161" w:type="dxa"/>
            <w:shd w:val="clear" w:color="auto" w:fill="A6A6A6" w:themeFill="background1" w:themeFillShade="A6"/>
            <w:vAlign w:val="center"/>
            <w:hideMark/>
          </w:tcPr>
          <w:p w14:paraId="2EB24F70" w14:textId="77777777" w:rsidR="006F3A67" w:rsidRPr="006F3A67" w:rsidRDefault="006F3A67" w:rsidP="00D1449D">
            <w:pPr>
              <w:keepNext/>
              <w:spacing w:before="40" w:after="40"/>
              <w:jc w:val="center"/>
              <w:rPr>
                <w:rFonts w:ascii="Trebuchet MS" w:hAnsi="Trebuchet MS"/>
                <w:b/>
                <w:bCs/>
                <w:color w:val="FFFFFF" w:themeColor="background1"/>
                <w:sz w:val="22"/>
                <w:szCs w:val="20"/>
              </w:rPr>
            </w:pPr>
            <w:r w:rsidRPr="006F3A67">
              <w:rPr>
                <w:rFonts w:ascii="Trebuchet MS" w:hAnsi="Trebuchet MS"/>
                <w:b/>
                <w:bCs/>
                <w:color w:val="FFFFFF" w:themeColor="background1"/>
                <w:sz w:val="22"/>
                <w:szCs w:val="20"/>
              </w:rPr>
              <w:t>Female</w:t>
            </w:r>
          </w:p>
        </w:tc>
        <w:tc>
          <w:tcPr>
            <w:tcW w:w="1162" w:type="dxa"/>
            <w:shd w:val="clear" w:color="auto" w:fill="A6A6A6" w:themeFill="background1" w:themeFillShade="A6"/>
            <w:vAlign w:val="center"/>
            <w:hideMark/>
          </w:tcPr>
          <w:p w14:paraId="099E548E" w14:textId="77777777" w:rsidR="006F3A67" w:rsidRPr="006F3A67" w:rsidRDefault="006F3A67" w:rsidP="00D1449D">
            <w:pPr>
              <w:keepNext/>
              <w:spacing w:before="40" w:after="40"/>
              <w:jc w:val="center"/>
              <w:rPr>
                <w:rFonts w:ascii="Trebuchet MS" w:hAnsi="Trebuchet MS"/>
                <w:b/>
                <w:bCs/>
                <w:color w:val="FFFFFF" w:themeColor="background1"/>
                <w:sz w:val="22"/>
                <w:szCs w:val="20"/>
              </w:rPr>
            </w:pPr>
            <w:r w:rsidRPr="006F3A67">
              <w:rPr>
                <w:rFonts w:ascii="Trebuchet MS" w:hAnsi="Trebuchet MS"/>
                <w:b/>
                <w:bCs/>
                <w:color w:val="FFFFFF" w:themeColor="background1"/>
                <w:sz w:val="22"/>
                <w:szCs w:val="20"/>
              </w:rPr>
              <w:t>Male</w:t>
            </w:r>
          </w:p>
        </w:tc>
      </w:tr>
      <w:tr w:rsidR="006F3A67" w:rsidRPr="006F3A67" w14:paraId="4750E134" w14:textId="77777777" w:rsidTr="00C760A8">
        <w:trPr>
          <w:trHeight w:val="50"/>
        </w:trPr>
        <w:tc>
          <w:tcPr>
            <w:tcW w:w="3207" w:type="dxa"/>
            <w:shd w:val="clear" w:color="auto" w:fill="D9D9D9" w:themeFill="background1" w:themeFillShade="D9"/>
            <w:vAlign w:val="center"/>
            <w:hideMark/>
          </w:tcPr>
          <w:p w14:paraId="216FFE4B" w14:textId="77777777" w:rsidR="006F3A67" w:rsidRPr="006F3A67" w:rsidRDefault="00C760A8" w:rsidP="00D1449D">
            <w:pPr>
              <w:keepNext/>
              <w:spacing w:before="40" w:after="40"/>
              <w:rPr>
                <w:rFonts w:ascii="Trebuchet MS" w:hAnsi="Trebuchet MS"/>
                <w:color w:val="000000"/>
                <w:sz w:val="22"/>
                <w:szCs w:val="20"/>
              </w:rPr>
            </w:pPr>
            <w:r>
              <w:rPr>
                <w:rFonts w:ascii="Trebuchet MS" w:hAnsi="Trebuchet MS"/>
                <w:color w:val="000000"/>
                <w:sz w:val="22"/>
                <w:szCs w:val="20"/>
              </w:rPr>
              <w:t>Direct care and support roles</w:t>
            </w:r>
          </w:p>
        </w:tc>
        <w:tc>
          <w:tcPr>
            <w:tcW w:w="1161" w:type="dxa"/>
            <w:shd w:val="clear" w:color="auto" w:fill="D9D9D9" w:themeFill="background1" w:themeFillShade="D9"/>
            <w:vAlign w:val="center"/>
            <w:hideMark/>
          </w:tcPr>
          <w:p w14:paraId="607B4C99" w14:textId="77777777" w:rsidR="006F3A67" w:rsidRPr="006F3A67" w:rsidRDefault="006F3A67" w:rsidP="00D1449D">
            <w:pPr>
              <w:keepNext/>
              <w:spacing w:before="40" w:after="40"/>
              <w:jc w:val="center"/>
              <w:rPr>
                <w:rFonts w:ascii="Trebuchet MS" w:hAnsi="Trebuchet MS"/>
                <w:color w:val="000000"/>
                <w:sz w:val="22"/>
                <w:szCs w:val="20"/>
              </w:rPr>
            </w:pPr>
            <w:r w:rsidRPr="006F3A67">
              <w:rPr>
                <w:rFonts w:ascii="Trebuchet MS" w:hAnsi="Trebuchet MS"/>
                <w:color w:val="000000"/>
                <w:sz w:val="22"/>
                <w:szCs w:val="20"/>
              </w:rPr>
              <w:t>81%</w:t>
            </w:r>
          </w:p>
        </w:tc>
        <w:tc>
          <w:tcPr>
            <w:tcW w:w="1162" w:type="dxa"/>
            <w:shd w:val="clear" w:color="auto" w:fill="D9D9D9" w:themeFill="background1" w:themeFillShade="D9"/>
            <w:vAlign w:val="center"/>
            <w:hideMark/>
          </w:tcPr>
          <w:p w14:paraId="7536831D" w14:textId="77777777" w:rsidR="006F3A67" w:rsidRPr="006F3A67" w:rsidRDefault="006F3A67" w:rsidP="00D1449D">
            <w:pPr>
              <w:keepNext/>
              <w:spacing w:before="40" w:after="40"/>
              <w:jc w:val="center"/>
              <w:rPr>
                <w:rFonts w:ascii="Trebuchet MS" w:hAnsi="Trebuchet MS"/>
                <w:color w:val="000000"/>
                <w:sz w:val="22"/>
                <w:szCs w:val="20"/>
              </w:rPr>
            </w:pPr>
            <w:r w:rsidRPr="006F3A67">
              <w:rPr>
                <w:rFonts w:ascii="Trebuchet MS" w:hAnsi="Trebuchet MS"/>
                <w:color w:val="000000"/>
                <w:sz w:val="22"/>
                <w:szCs w:val="20"/>
              </w:rPr>
              <w:t>19%</w:t>
            </w:r>
          </w:p>
        </w:tc>
      </w:tr>
      <w:tr w:rsidR="006F3A67" w:rsidRPr="006F3A67" w14:paraId="75662D9D" w14:textId="77777777" w:rsidTr="00C760A8">
        <w:trPr>
          <w:trHeight w:val="300"/>
        </w:trPr>
        <w:tc>
          <w:tcPr>
            <w:tcW w:w="3207" w:type="dxa"/>
            <w:shd w:val="clear" w:color="auto" w:fill="D9D9D9" w:themeFill="background1" w:themeFillShade="D9"/>
            <w:noWrap/>
            <w:vAlign w:val="center"/>
            <w:hideMark/>
          </w:tcPr>
          <w:p w14:paraId="04DC5080" w14:textId="77777777" w:rsidR="006F3A67" w:rsidRPr="006F3A67" w:rsidRDefault="006F3A67" w:rsidP="006F3A67">
            <w:pPr>
              <w:spacing w:before="40" w:after="40"/>
              <w:rPr>
                <w:rFonts w:ascii="Trebuchet MS" w:hAnsi="Trebuchet MS"/>
                <w:color w:val="000000"/>
                <w:sz w:val="22"/>
                <w:szCs w:val="20"/>
              </w:rPr>
            </w:pPr>
            <w:r w:rsidRPr="006F3A67">
              <w:rPr>
                <w:rFonts w:ascii="Trebuchet MS" w:hAnsi="Trebuchet MS"/>
                <w:color w:val="000000"/>
                <w:sz w:val="22"/>
                <w:szCs w:val="20"/>
              </w:rPr>
              <w:t>Junior support</w:t>
            </w:r>
            <w:r w:rsidR="002A7419">
              <w:rPr>
                <w:rFonts w:ascii="Trebuchet MS" w:hAnsi="Trebuchet MS"/>
                <w:color w:val="000000"/>
                <w:sz w:val="22"/>
                <w:szCs w:val="20"/>
              </w:rPr>
              <w:t xml:space="preserve"> roles</w:t>
            </w:r>
          </w:p>
        </w:tc>
        <w:tc>
          <w:tcPr>
            <w:tcW w:w="1161" w:type="dxa"/>
            <w:shd w:val="clear" w:color="auto" w:fill="D9D9D9" w:themeFill="background1" w:themeFillShade="D9"/>
            <w:vAlign w:val="center"/>
            <w:hideMark/>
          </w:tcPr>
          <w:p w14:paraId="1308F25A" w14:textId="77777777" w:rsidR="006F3A67" w:rsidRPr="006F3A67" w:rsidRDefault="006F3A67" w:rsidP="006F3A67">
            <w:pPr>
              <w:spacing w:before="40" w:after="40"/>
              <w:jc w:val="center"/>
              <w:rPr>
                <w:rFonts w:ascii="Trebuchet MS" w:hAnsi="Trebuchet MS"/>
                <w:color w:val="000000"/>
                <w:sz w:val="22"/>
                <w:szCs w:val="20"/>
              </w:rPr>
            </w:pPr>
            <w:r w:rsidRPr="006F3A67">
              <w:rPr>
                <w:rFonts w:ascii="Trebuchet MS" w:hAnsi="Trebuchet MS"/>
                <w:color w:val="000000"/>
                <w:sz w:val="22"/>
                <w:szCs w:val="20"/>
              </w:rPr>
              <w:t>67%</w:t>
            </w:r>
          </w:p>
        </w:tc>
        <w:tc>
          <w:tcPr>
            <w:tcW w:w="1162" w:type="dxa"/>
            <w:shd w:val="clear" w:color="auto" w:fill="D9D9D9" w:themeFill="background1" w:themeFillShade="D9"/>
            <w:vAlign w:val="center"/>
            <w:hideMark/>
          </w:tcPr>
          <w:p w14:paraId="594634D8" w14:textId="77777777" w:rsidR="006F3A67" w:rsidRPr="006F3A67" w:rsidRDefault="006F3A67" w:rsidP="006F3A67">
            <w:pPr>
              <w:spacing w:before="40" w:after="40"/>
              <w:jc w:val="center"/>
              <w:rPr>
                <w:rFonts w:ascii="Trebuchet MS" w:hAnsi="Trebuchet MS"/>
                <w:color w:val="000000"/>
                <w:sz w:val="22"/>
                <w:szCs w:val="20"/>
              </w:rPr>
            </w:pPr>
            <w:r w:rsidRPr="006F3A67">
              <w:rPr>
                <w:rFonts w:ascii="Trebuchet MS" w:hAnsi="Trebuchet MS"/>
                <w:color w:val="000000"/>
                <w:sz w:val="22"/>
                <w:szCs w:val="20"/>
              </w:rPr>
              <w:t>33%</w:t>
            </w:r>
          </w:p>
        </w:tc>
      </w:tr>
      <w:tr w:rsidR="006F3A67" w:rsidRPr="006F3A67" w14:paraId="10E0D432" w14:textId="77777777" w:rsidTr="00C760A8">
        <w:trPr>
          <w:trHeight w:val="300"/>
        </w:trPr>
        <w:tc>
          <w:tcPr>
            <w:tcW w:w="3207" w:type="dxa"/>
            <w:shd w:val="clear" w:color="auto" w:fill="D9D9D9" w:themeFill="background1" w:themeFillShade="D9"/>
            <w:vAlign w:val="center"/>
            <w:hideMark/>
          </w:tcPr>
          <w:p w14:paraId="6BF0D67F" w14:textId="77777777" w:rsidR="006F3A67" w:rsidRPr="006F3A67" w:rsidRDefault="006F3A67" w:rsidP="006F3A67">
            <w:pPr>
              <w:spacing w:before="40" w:after="40"/>
              <w:rPr>
                <w:rFonts w:ascii="Trebuchet MS" w:hAnsi="Trebuchet MS"/>
                <w:color w:val="000000"/>
                <w:sz w:val="22"/>
                <w:szCs w:val="20"/>
              </w:rPr>
            </w:pPr>
            <w:r w:rsidRPr="006F3A67">
              <w:rPr>
                <w:rFonts w:ascii="Trebuchet MS" w:hAnsi="Trebuchet MS"/>
                <w:color w:val="000000"/>
                <w:sz w:val="22"/>
                <w:szCs w:val="20"/>
              </w:rPr>
              <w:t>Senior roles</w:t>
            </w:r>
          </w:p>
        </w:tc>
        <w:tc>
          <w:tcPr>
            <w:tcW w:w="1161" w:type="dxa"/>
            <w:shd w:val="clear" w:color="auto" w:fill="D9D9D9" w:themeFill="background1" w:themeFillShade="D9"/>
            <w:vAlign w:val="center"/>
            <w:hideMark/>
          </w:tcPr>
          <w:p w14:paraId="1161A6B9" w14:textId="77777777" w:rsidR="006F3A67" w:rsidRPr="006F3A67" w:rsidRDefault="006F3A67" w:rsidP="006F3A67">
            <w:pPr>
              <w:spacing w:before="40" w:after="40"/>
              <w:jc w:val="center"/>
              <w:rPr>
                <w:rFonts w:ascii="Trebuchet MS" w:hAnsi="Trebuchet MS"/>
                <w:color w:val="000000"/>
                <w:sz w:val="22"/>
                <w:szCs w:val="20"/>
              </w:rPr>
            </w:pPr>
            <w:r w:rsidRPr="006F3A67">
              <w:rPr>
                <w:rFonts w:ascii="Trebuchet MS" w:hAnsi="Trebuchet MS"/>
                <w:color w:val="000000"/>
                <w:sz w:val="22"/>
                <w:szCs w:val="20"/>
              </w:rPr>
              <w:t>50%</w:t>
            </w:r>
          </w:p>
        </w:tc>
        <w:tc>
          <w:tcPr>
            <w:tcW w:w="1162" w:type="dxa"/>
            <w:shd w:val="clear" w:color="auto" w:fill="D9D9D9" w:themeFill="background1" w:themeFillShade="D9"/>
            <w:vAlign w:val="center"/>
            <w:hideMark/>
          </w:tcPr>
          <w:p w14:paraId="6A45BFED" w14:textId="77777777" w:rsidR="006F3A67" w:rsidRPr="006F3A67" w:rsidRDefault="006F3A67" w:rsidP="006F3A67">
            <w:pPr>
              <w:spacing w:before="40" w:after="40"/>
              <w:jc w:val="center"/>
              <w:rPr>
                <w:rFonts w:ascii="Trebuchet MS" w:hAnsi="Trebuchet MS"/>
                <w:color w:val="000000"/>
                <w:sz w:val="22"/>
                <w:szCs w:val="20"/>
              </w:rPr>
            </w:pPr>
            <w:r w:rsidRPr="006F3A67">
              <w:rPr>
                <w:rFonts w:ascii="Trebuchet MS" w:hAnsi="Trebuchet MS"/>
                <w:color w:val="000000"/>
                <w:sz w:val="22"/>
                <w:szCs w:val="20"/>
              </w:rPr>
              <w:t>50%</w:t>
            </w:r>
          </w:p>
        </w:tc>
      </w:tr>
    </w:tbl>
    <w:p w14:paraId="1C3947A0" w14:textId="77777777" w:rsidR="006F3A67" w:rsidRDefault="006F3A67" w:rsidP="00445CBF">
      <w:pPr>
        <w:spacing w:line="276" w:lineRule="auto"/>
        <w:jc w:val="both"/>
        <w:rPr>
          <w:rFonts w:ascii="Trebuchet MS" w:hAnsi="Trebuchet MS"/>
          <w:sz w:val="22"/>
          <w:szCs w:val="20"/>
        </w:rPr>
      </w:pPr>
    </w:p>
    <w:p w14:paraId="5C7D8736" w14:textId="77777777" w:rsidR="00391709" w:rsidRDefault="002A7419" w:rsidP="00445CBF">
      <w:pPr>
        <w:spacing w:line="276" w:lineRule="auto"/>
        <w:jc w:val="both"/>
        <w:rPr>
          <w:rFonts w:ascii="Trebuchet MS" w:hAnsi="Trebuchet MS"/>
          <w:sz w:val="22"/>
          <w:szCs w:val="20"/>
        </w:rPr>
      </w:pPr>
      <w:r>
        <w:rPr>
          <w:rFonts w:ascii="Trebuchet MS" w:hAnsi="Trebuchet MS"/>
          <w:sz w:val="22"/>
          <w:szCs w:val="20"/>
        </w:rPr>
        <w:t>This skewing of gender ratios towards the lower level roles contributes to the mean gender pay gap for the organisation of 8%.</w:t>
      </w:r>
    </w:p>
    <w:p w14:paraId="56B90466" w14:textId="77777777" w:rsidR="002A7419" w:rsidRDefault="002A7419" w:rsidP="00445CBF">
      <w:pPr>
        <w:spacing w:line="276" w:lineRule="auto"/>
        <w:jc w:val="both"/>
        <w:rPr>
          <w:rFonts w:ascii="Trebuchet MS" w:hAnsi="Trebuchet MS"/>
          <w:sz w:val="22"/>
          <w:szCs w:val="20"/>
        </w:rPr>
      </w:pPr>
    </w:p>
    <w:p w14:paraId="12EA9878" w14:textId="77777777" w:rsidR="00B1427C" w:rsidRDefault="002A7419" w:rsidP="00B1427C">
      <w:pPr>
        <w:spacing w:line="276" w:lineRule="auto"/>
        <w:jc w:val="both"/>
        <w:rPr>
          <w:rFonts w:ascii="Trebuchet MS" w:hAnsi="Trebuchet MS"/>
          <w:sz w:val="22"/>
          <w:szCs w:val="20"/>
        </w:rPr>
      </w:pPr>
      <w:r>
        <w:rPr>
          <w:rFonts w:ascii="Trebuchet MS" w:hAnsi="Trebuchet MS"/>
          <w:sz w:val="22"/>
          <w:szCs w:val="20"/>
        </w:rPr>
        <w:t>While th</w:t>
      </w:r>
      <w:r w:rsidR="00920738">
        <w:rPr>
          <w:rFonts w:ascii="Trebuchet MS" w:hAnsi="Trebuchet MS"/>
          <w:sz w:val="22"/>
          <w:szCs w:val="20"/>
        </w:rPr>
        <w:t>is</w:t>
      </w:r>
      <w:r w:rsidR="00B1427C">
        <w:rPr>
          <w:rFonts w:ascii="Trebuchet MS" w:hAnsi="Trebuchet MS"/>
          <w:sz w:val="22"/>
          <w:szCs w:val="20"/>
        </w:rPr>
        <w:t xml:space="preserve"> pattern</w:t>
      </w:r>
      <w:r w:rsidR="00920738">
        <w:rPr>
          <w:rFonts w:ascii="Trebuchet MS" w:hAnsi="Trebuchet MS"/>
          <w:sz w:val="22"/>
          <w:szCs w:val="20"/>
        </w:rPr>
        <w:t xml:space="preserve"> is strongly influenced by the higher proportion of women in care and support roles, the need for mindful </w:t>
      </w:r>
      <w:r w:rsidR="00920738" w:rsidRPr="00920738">
        <w:rPr>
          <w:rFonts w:ascii="Trebuchet MS" w:hAnsi="Trebuchet MS"/>
          <w:sz w:val="22"/>
          <w:szCs w:val="20"/>
        </w:rPr>
        <w:t>practice by our leaders to consider gender equality in</w:t>
      </w:r>
      <w:r w:rsidR="00B1427C">
        <w:rPr>
          <w:rFonts w:ascii="Trebuchet MS" w:hAnsi="Trebuchet MS"/>
          <w:sz w:val="22"/>
          <w:szCs w:val="20"/>
        </w:rPr>
        <w:t xml:space="preserve"> </w:t>
      </w:r>
      <w:r w:rsidR="00920738" w:rsidRPr="00920738">
        <w:rPr>
          <w:rFonts w:ascii="Trebuchet MS" w:hAnsi="Trebuchet MS"/>
          <w:sz w:val="22"/>
          <w:szCs w:val="20"/>
        </w:rPr>
        <w:t>their approaches to recruitment, development and promotion</w:t>
      </w:r>
      <w:r w:rsidR="00B1427C">
        <w:rPr>
          <w:rFonts w:ascii="Trebuchet MS" w:hAnsi="Trebuchet MS"/>
          <w:sz w:val="22"/>
          <w:szCs w:val="20"/>
        </w:rPr>
        <w:t xml:space="preserve"> cannot be underestimated. To reduce </w:t>
      </w:r>
      <w:r w:rsidR="00B1427C">
        <w:rPr>
          <w:rFonts w:ascii="Trebuchet MS" w:hAnsi="Trebuchet MS"/>
          <w:sz w:val="22"/>
          <w:szCs w:val="20"/>
        </w:rPr>
        <w:lastRenderedPageBreak/>
        <w:t xml:space="preserve">the gender pay gap will require </w:t>
      </w:r>
      <w:r w:rsidR="009C3C99">
        <w:rPr>
          <w:rFonts w:ascii="Trebuchet MS" w:hAnsi="Trebuchet MS"/>
          <w:sz w:val="22"/>
          <w:szCs w:val="20"/>
        </w:rPr>
        <w:t xml:space="preserve">working towards </w:t>
      </w:r>
      <w:r w:rsidR="00B1427C">
        <w:rPr>
          <w:rFonts w:ascii="Trebuchet MS" w:hAnsi="Trebuchet MS"/>
          <w:sz w:val="22"/>
          <w:szCs w:val="20"/>
        </w:rPr>
        <w:t>more consistent gender ratios across the organisation at all levels.</w:t>
      </w:r>
    </w:p>
    <w:p w14:paraId="4CE7FE26" w14:textId="77777777" w:rsidR="00B1427C" w:rsidRDefault="00B1427C" w:rsidP="00B1427C">
      <w:pPr>
        <w:spacing w:line="276" w:lineRule="auto"/>
        <w:jc w:val="both"/>
        <w:rPr>
          <w:rFonts w:ascii="Trebuchet MS" w:hAnsi="Trebuchet MS"/>
          <w:sz w:val="22"/>
          <w:szCs w:val="20"/>
        </w:rPr>
      </w:pPr>
    </w:p>
    <w:p w14:paraId="7B0DC760" w14:textId="77777777" w:rsidR="00B1427C" w:rsidRPr="00B1427C" w:rsidRDefault="00B1427C" w:rsidP="00B1427C">
      <w:pPr>
        <w:spacing w:line="276" w:lineRule="auto"/>
        <w:jc w:val="both"/>
        <w:rPr>
          <w:rFonts w:ascii="Trebuchet MS" w:hAnsi="Trebuchet MS"/>
          <w:b/>
          <w:color w:val="DC0451"/>
          <w:sz w:val="22"/>
          <w:szCs w:val="20"/>
        </w:rPr>
      </w:pPr>
      <w:r w:rsidRPr="00B1427C">
        <w:rPr>
          <w:rFonts w:ascii="Trebuchet MS" w:hAnsi="Trebuchet MS"/>
          <w:b/>
          <w:color w:val="DC0451"/>
          <w:sz w:val="22"/>
          <w:szCs w:val="20"/>
        </w:rPr>
        <w:t>What are we doing at Leonard Cheshire Disability to address our gender pay gap?</w:t>
      </w:r>
    </w:p>
    <w:p w14:paraId="5AA6AA54" w14:textId="77777777" w:rsidR="00B1427C" w:rsidRDefault="00B1427C" w:rsidP="00920738">
      <w:pPr>
        <w:spacing w:line="276" w:lineRule="auto"/>
        <w:jc w:val="both"/>
        <w:rPr>
          <w:rFonts w:ascii="Trebuchet MS" w:hAnsi="Trebuchet MS"/>
          <w:sz w:val="22"/>
          <w:szCs w:val="20"/>
        </w:rPr>
      </w:pPr>
    </w:p>
    <w:p w14:paraId="46E14D7B" w14:textId="77777777" w:rsidR="00B1427C" w:rsidRDefault="00B1427C" w:rsidP="00B1427C">
      <w:pPr>
        <w:spacing w:line="276" w:lineRule="auto"/>
        <w:jc w:val="both"/>
        <w:rPr>
          <w:rFonts w:ascii="Trebuchet MS" w:hAnsi="Trebuchet MS"/>
          <w:sz w:val="22"/>
          <w:szCs w:val="20"/>
        </w:rPr>
      </w:pPr>
      <w:r>
        <w:rPr>
          <w:rFonts w:ascii="Trebuchet MS" w:hAnsi="Trebuchet MS"/>
          <w:sz w:val="22"/>
          <w:szCs w:val="20"/>
        </w:rPr>
        <w:t>We must consider the issue of gender equity in our choices as an organisation.</w:t>
      </w:r>
      <w:r w:rsidR="00DF2D6D">
        <w:rPr>
          <w:rFonts w:ascii="Trebuchet MS" w:hAnsi="Trebuchet MS"/>
          <w:sz w:val="22"/>
          <w:szCs w:val="20"/>
        </w:rPr>
        <w:t xml:space="preserve"> </w:t>
      </w:r>
      <w:r w:rsidR="004337E3">
        <w:rPr>
          <w:rFonts w:ascii="Trebuchet MS" w:hAnsi="Trebuchet MS"/>
          <w:sz w:val="22"/>
          <w:szCs w:val="20"/>
        </w:rPr>
        <w:t>It will require</w:t>
      </w:r>
      <w:r w:rsidR="00DF2D6D">
        <w:rPr>
          <w:rFonts w:ascii="Trebuchet MS" w:hAnsi="Trebuchet MS"/>
          <w:sz w:val="22"/>
          <w:szCs w:val="20"/>
        </w:rPr>
        <w:t xml:space="preserve"> c</w:t>
      </w:r>
      <w:r w:rsidR="004337E3">
        <w:rPr>
          <w:rFonts w:ascii="Trebuchet MS" w:hAnsi="Trebuchet MS"/>
          <w:sz w:val="22"/>
          <w:szCs w:val="20"/>
        </w:rPr>
        <w:t>onscious and intentional actions to redress the systemic imbalance</w:t>
      </w:r>
      <w:r w:rsidR="00DF2D6D">
        <w:rPr>
          <w:rFonts w:ascii="Trebuchet MS" w:hAnsi="Trebuchet MS"/>
          <w:sz w:val="22"/>
          <w:szCs w:val="20"/>
        </w:rPr>
        <w:t xml:space="preserve">. The plans to address this issue are outlined in </w:t>
      </w:r>
      <w:r w:rsidR="004337E3">
        <w:rPr>
          <w:rFonts w:ascii="Trebuchet MS" w:hAnsi="Trebuchet MS"/>
          <w:sz w:val="22"/>
          <w:szCs w:val="20"/>
        </w:rPr>
        <w:t>three</w:t>
      </w:r>
      <w:r w:rsidR="00DF2D6D">
        <w:rPr>
          <w:rFonts w:ascii="Trebuchet MS" w:hAnsi="Trebuchet MS"/>
          <w:sz w:val="22"/>
          <w:szCs w:val="20"/>
        </w:rPr>
        <w:t xml:space="preserve"> main categories below.</w:t>
      </w:r>
    </w:p>
    <w:p w14:paraId="4C662FEA" w14:textId="77777777" w:rsidR="00DF2D6D" w:rsidRDefault="00DF2D6D" w:rsidP="00B1427C">
      <w:pPr>
        <w:spacing w:line="276" w:lineRule="auto"/>
        <w:jc w:val="both"/>
        <w:rPr>
          <w:rFonts w:ascii="Trebuchet MS" w:hAnsi="Trebuchet MS"/>
          <w:sz w:val="22"/>
          <w:szCs w:val="20"/>
        </w:rPr>
      </w:pPr>
    </w:p>
    <w:p w14:paraId="074901BF" w14:textId="77777777" w:rsidR="00DF2D6D" w:rsidRPr="00DF2D6D" w:rsidRDefault="004337E3" w:rsidP="00DF2D6D">
      <w:pPr>
        <w:pStyle w:val="ListParagraph"/>
        <w:numPr>
          <w:ilvl w:val="0"/>
          <w:numId w:val="2"/>
        </w:numPr>
        <w:spacing w:line="276" w:lineRule="auto"/>
        <w:jc w:val="both"/>
        <w:rPr>
          <w:rFonts w:ascii="Trebuchet MS" w:hAnsi="Trebuchet MS"/>
          <w:b/>
          <w:color w:val="808080" w:themeColor="background1" w:themeShade="80"/>
          <w:sz w:val="22"/>
          <w:szCs w:val="20"/>
        </w:rPr>
      </w:pPr>
      <w:r>
        <w:rPr>
          <w:rFonts w:ascii="Trebuchet MS" w:hAnsi="Trebuchet MS"/>
          <w:b/>
          <w:color w:val="808080" w:themeColor="background1" w:themeShade="80"/>
          <w:sz w:val="22"/>
          <w:szCs w:val="20"/>
        </w:rPr>
        <w:t>Further</w:t>
      </w:r>
      <w:r w:rsidR="00DF2D6D" w:rsidRPr="00DF2D6D">
        <w:rPr>
          <w:rFonts w:ascii="Trebuchet MS" w:hAnsi="Trebuchet MS"/>
          <w:b/>
          <w:color w:val="808080" w:themeColor="background1" w:themeShade="80"/>
          <w:sz w:val="22"/>
          <w:szCs w:val="20"/>
        </w:rPr>
        <w:t xml:space="preserve"> </w:t>
      </w:r>
      <w:r w:rsidR="00DF2D6D">
        <w:rPr>
          <w:rFonts w:ascii="Trebuchet MS" w:hAnsi="Trebuchet MS"/>
          <w:b/>
          <w:color w:val="808080" w:themeColor="background1" w:themeShade="80"/>
          <w:sz w:val="22"/>
          <w:szCs w:val="20"/>
        </w:rPr>
        <w:t>analysis</w:t>
      </w:r>
    </w:p>
    <w:p w14:paraId="16D4B8C8" w14:textId="77777777" w:rsidR="00DF2D6D" w:rsidRDefault="00DF2D6D" w:rsidP="00DF2D6D">
      <w:pPr>
        <w:pStyle w:val="ListParagraph"/>
        <w:numPr>
          <w:ilvl w:val="0"/>
          <w:numId w:val="3"/>
        </w:numPr>
        <w:spacing w:line="276" w:lineRule="auto"/>
        <w:jc w:val="both"/>
        <w:rPr>
          <w:rFonts w:ascii="Trebuchet MS" w:hAnsi="Trebuchet MS"/>
          <w:sz w:val="22"/>
          <w:szCs w:val="20"/>
        </w:rPr>
      </w:pPr>
      <w:r w:rsidRPr="00DF2D6D">
        <w:rPr>
          <w:rFonts w:ascii="Trebuchet MS" w:hAnsi="Trebuchet MS"/>
          <w:sz w:val="22"/>
          <w:szCs w:val="20"/>
        </w:rPr>
        <w:t>Implement a global grading structure and revised reward framework, enhancing cross-organisational consistency and enabling more integrated internal equity analysis.</w:t>
      </w:r>
    </w:p>
    <w:p w14:paraId="79C19390" w14:textId="77777777" w:rsidR="00DF2D6D" w:rsidRDefault="00DF2D6D" w:rsidP="00DF2D6D">
      <w:pPr>
        <w:pStyle w:val="ListParagraph"/>
        <w:numPr>
          <w:ilvl w:val="0"/>
          <w:numId w:val="3"/>
        </w:numPr>
        <w:spacing w:line="276" w:lineRule="auto"/>
        <w:jc w:val="both"/>
        <w:rPr>
          <w:rFonts w:ascii="Trebuchet MS" w:hAnsi="Trebuchet MS"/>
          <w:sz w:val="22"/>
          <w:szCs w:val="20"/>
        </w:rPr>
      </w:pPr>
      <w:r>
        <w:rPr>
          <w:rFonts w:ascii="Trebuchet MS" w:hAnsi="Trebuchet MS"/>
          <w:sz w:val="22"/>
          <w:szCs w:val="20"/>
        </w:rPr>
        <w:t>Undertake further and regular root cause analysis to identify areas of potential bias</w:t>
      </w:r>
      <w:r w:rsidR="003154E0">
        <w:rPr>
          <w:rFonts w:ascii="Trebuchet MS" w:hAnsi="Trebuchet MS"/>
          <w:sz w:val="22"/>
          <w:szCs w:val="20"/>
        </w:rPr>
        <w:t>.</w:t>
      </w:r>
    </w:p>
    <w:p w14:paraId="12470363" w14:textId="77777777" w:rsidR="00DF2D6D" w:rsidRPr="00DF2D6D" w:rsidRDefault="00DF2D6D" w:rsidP="00DF2D6D">
      <w:pPr>
        <w:pStyle w:val="ListParagraph"/>
        <w:spacing w:line="276" w:lineRule="auto"/>
        <w:jc w:val="both"/>
        <w:rPr>
          <w:rFonts w:ascii="Trebuchet MS" w:hAnsi="Trebuchet MS"/>
          <w:sz w:val="22"/>
          <w:szCs w:val="20"/>
        </w:rPr>
      </w:pPr>
    </w:p>
    <w:p w14:paraId="49599B0C" w14:textId="77777777" w:rsidR="00DF2D6D" w:rsidRPr="00DF2D6D" w:rsidRDefault="00DF2D6D" w:rsidP="00DF2D6D">
      <w:pPr>
        <w:pStyle w:val="ListParagraph"/>
        <w:numPr>
          <w:ilvl w:val="0"/>
          <w:numId w:val="2"/>
        </w:numPr>
        <w:spacing w:line="276" w:lineRule="auto"/>
        <w:jc w:val="both"/>
        <w:rPr>
          <w:rFonts w:ascii="Trebuchet MS" w:hAnsi="Trebuchet MS"/>
          <w:b/>
          <w:color w:val="808080" w:themeColor="background1" w:themeShade="80"/>
          <w:sz w:val="22"/>
          <w:szCs w:val="20"/>
        </w:rPr>
      </w:pPr>
      <w:r w:rsidRPr="00DF2D6D">
        <w:rPr>
          <w:rFonts w:ascii="Trebuchet MS" w:hAnsi="Trebuchet MS"/>
          <w:b/>
          <w:color w:val="808080" w:themeColor="background1" w:themeShade="80"/>
          <w:sz w:val="22"/>
          <w:szCs w:val="20"/>
        </w:rPr>
        <w:t>Building diversity and inclusivity awareness</w:t>
      </w:r>
    </w:p>
    <w:p w14:paraId="0D9DEA0A" w14:textId="77777777" w:rsidR="00B1427C" w:rsidRPr="00DF2D6D" w:rsidRDefault="00AE6D72" w:rsidP="00DF2D6D">
      <w:pPr>
        <w:pStyle w:val="ListParagraph"/>
        <w:numPr>
          <w:ilvl w:val="0"/>
          <w:numId w:val="3"/>
        </w:numPr>
        <w:spacing w:line="276" w:lineRule="auto"/>
        <w:jc w:val="both"/>
        <w:rPr>
          <w:rFonts w:ascii="Trebuchet MS" w:hAnsi="Trebuchet MS"/>
          <w:sz w:val="22"/>
          <w:szCs w:val="20"/>
        </w:rPr>
      </w:pPr>
      <w:r>
        <w:rPr>
          <w:rFonts w:ascii="Trebuchet MS" w:hAnsi="Trebuchet MS"/>
          <w:sz w:val="22"/>
          <w:szCs w:val="20"/>
        </w:rPr>
        <w:t>Build</w:t>
      </w:r>
      <w:r w:rsidR="00B1427C" w:rsidRPr="00DF2D6D">
        <w:rPr>
          <w:rFonts w:ascii="Trebuchet MS" w:hAnsi="Trebuchet MS"/>
          <w:sz w:val="22"/>
          <w:szCs w:val="20"/>
        </w:rPr>
        <w:t xml:space="preserve"> awareness of systemic gender bias, and working consciously to counteract this.</w:t>
      </w:r>
    </w:p>
    <w:p w14:paraId="7E282A77" w14:textId="77777777" w:rsidR="00B1427C" w:rsidRPr="00DF2D6D" w:rsidRDefault="00B1427C" w:rsidP="00DF2D6D">
      <w:pPr>
        <w:pStyle w:val="ListParagraph"/>
        <w:numPr>
          <w:ilvl w:val="0"/>
          <w:numId w:val="3"/>
        </w:numPr>
        <w:spacing w:line="276" w:lineRule="auto"/>
        <w:jc w:val="both"/>
        <w:rPr>
          <w:rFonts w:ascii="Trebuchet MS" w:hAnsi="Trebuchet MS"/>
          <w:sz w:val="22"/>
          <w:szCs w:val="20"/>
        </w:rPr>
      </w:pPr>
      <w:r w:rsidRPr="00DF2D6D">
        <w:rPr>
          <w:rFonts w:ascii="Trebuchet MS" w:hAnsi="Trebuchet MS"/>
          <w:sz w:val="22"/>
          <w:szCs w:val="20"/>
        </w:rPr>
        <w:t>Introduc</w:t>
      </w:r>
      <w:r w:rsidR="00AE6D72">
        <w:rPr>
          <w:rFonts w:ascii="Trebuchet MS" w:hAnsi="Trebuchet MS"/>
          <w:sz w:val="22"/>
          <w:szCs w:val="20"/>
        </w:rPr>
        <w:t>e</w:t>
      </w:r>
      <w:r w:rsidRPr="00DF2D6D">
        <w:rPr>
          <w:rFonts w:ascii="Trebuchet MS" w:hAnsi="Trebuchet MS"/>
          <w:sz w:val="22"/>
          <w:szCs w:val="20"/>
        </w:rPr>
        <w:t xml:space="preserve"> training modules around unconscious bias, to increase awareness, and further build our organisation as an inclusive workplace.</w:t>
      </w:r>
    </w:p>
    <w:p w14:paraId="65F21735" w14:textId="77777777" w:rsidR="00DF2D6D" w:rsidRDefault="00DF2D6D" w:rsidP="00B1427C">
      <w:pPr>
        <w:spacing w:line="276" w:lineRule="auto"/>
        <w:jc w:val="both"/>
        <w:rPr>
          <w:rFonts w:ascii="Trebuchet MS" w:hAnsi="Trebuchet MS"/>
          <w:sz w:val="22"/>
          <w:szCs w:val="20"/>
        </w:rPr>
      </w:pPr>
    </w:p>
    <w:p w14:paraId="13712F63" w14:textId="77777777" w:rsidR="00DF2D6D" w:rsidRPr="00DF2D6D" w:rsidRDefault="00DF2D6D" w:rsidP="00DF2D6D">
      <w:pPr>
        <w:pStyle w:val="ListParagraph"/>
        <w:numPr>
          <w:ilvl w:val="0"/>
          <w:numId w:val="2"/>
        </w:numPr>
        <w:spacing w:line="276" w:lineRule="auto"/>
        <w:jc w:val="both"/>
        <w:rPr>
          <w:rFonts w:ascii="Trebuchet MS" w:hAnsi="Trebuchet MS"/>
          <w:b/>
          <w:color w:val="808080" w:themeColor="background1" w:themeShade="80"/>
          <w:sz w:val="22"/>
          <w:szCs w:val="20"/>
        </w:rPr>
      </w:pPr>
      <w:r>
        <w:rPr>
          <w:rFonts w:ascii="Trebuchet MS" w:hAnsi="Trebuchet MS"/>
          <w:b/>
          <w:color w:val="808080" w:themeColor="background1" w:themeShade="80"/>
          <w:sz w:val="22"/>
          <w:szCs w:val="20"/>
        </w:rPr>
        <w:t>Review of people practices</w:t>
      </w:r>
    </w:p>
    <w:p w14:paraId="7833A85A" w14:textId="77777777" w:rsidR="00B1427C" w:rsidRPr="00B1427C" w:rsidRDefault="00B1427C" w:rsidP="00DF2D6D">
      <w:pPr>
        <w:pStyle w:val="ListParagraph"/>
        <w:numPr>
          <w:ilvl w:val="0"/>
          <w:numId w:val="3"/>
        </w:numPr>
        <w:spacing w:line="276" w:lineRule="auto"/>
        <w:jc w:val="both"/>
        <w:rPr>
          <w:rFonts w:ascii="Trebuchet MS" w:hAnsi="Trebuchet MS"/>
          <w:sz w:val="22"/>
          <w:szCs w:val="20"/>
        </w:rPr>
      </w:pPr>
      <w:r w:rsidRPr="00B1427C">
        <w:rPr>
          <w:rFonts w:ascii="Trebuchet MS" w:hAnsi="Trebuchet MS"/>
          <w:sz w:val="22"/>
          <w:szCs w:val="20"/>
        </w:rPr>
        <w:t>Review</w:t>
      </w:r>
      <w:r w:rsidR="009C3C99">
        <w:rPr>
          <w:rFonts w:ascii="Trebuchet MS" w:hAnsi="Trebuchet MS"/>
          <w:sz w:val="22"/>
          <w:szCs w:val="20"/>
        </w:rPr>
        <w:t xml:space="preserve"> </w:t>
      </w:r>
      <w:r w:rsidRPr="00B1427C">
        <w:rPr>
          <w:rFonts w:ascii="Trebuchet MS" w:hAnsi="Trebuchet MS"/>
          <w:sz w:val="22"/>
          <w:szCs w:val="20"/>
        </w:rPr>
        <w:t>our recruitment process to ensure fairness in our process and parity in the offers being made to new starters.</w:t>
      </w:r>
    </w:p>
    <w:p w14:paraId="70CE7828" w14:textId="77777777" w:rsidR="00B1427C" w:rsidRPr="00B1427C" w:rsidRDefault="00B1427C" w:rsidP="00DF2D6D">
      <w:pPr>
        <w:pStyle w:val="ListParagraph"/>
        <w:numPr>
          <w:ilvl w:val="0"/>
          <w:numId w:val="3"/>
        </w:numPr>
        <w:spacing w:line="276" w:lineRule="auto"/>
        <w:jc w:val="both"/>
        <w:rPr>
          <w:rFonts w:ascii="Trebuchet MS" w:hAnsi="Trebuchet MS"/>
          <w:sz w:val="22"/>
          <w:szCs w:val="20"/>
        </w:rPr>
      </w:pPr>
      <w:r w:rsidRPr="00B1427C">
        <w:rPr>
          <w:rFonts w:ascii="Trebuchet MS" w:hAnsi="Trebuchet MS"/>
          <w:sz w:val="22"/>
          <w:szCs w:val="20"/>
        </w:rPr>
        <w:t>Enhance the culture of flexible working practices, to minimise career obstacles for working parents.</w:t>
      </w:r>
    </w:p>
    <w:p w14:paraId="3BE4934A" w14:textId="77777777" w:rsidR="00DF2D6D" w:rsidRDefault="00B1427C" w:rsidP="00B1427C">
      <w:pPr>
        <w:pStyle w:val="ListParagraph"/>
        <w:numPr>
          <w:ilvl w:val="0"/>
          <w:numId w:val="3"/>
        </w:numPr>
        <w:spacing w:line="276" w:lineRule="auto"/>
        <w:jc w:val="both"/>
        <w:rPr>
          <w:rFonts w:ascii="Trebuchet MS" w:hAnsi="Trebuchet MS"/>
          <w:sz w:val="22"/>
          <w:szCs w:val="20"/>
        </w:rPr>
      </w:pPr>
      <w:r w:rsidRPr="00B1427C">
        <w:rPr>
          <w:rFonts w:ascii="Trebuchet MS" w:hAnsi="Trebuchet MS"/>
          <w:sz w:val="22"/>
          <w:szCs w:val="20"/>
        </w:rPr>
        <w:t>Review our talent management and career development processes, with due consideration of the career progressi</w:t>
      </w:r>
      <w:r w:rsidR="00DF2D6D">
        <w:rPr>
          <w:rFonts w:ascii="Trebuchet MS" w:hAnsi="Trebuchet MS"/>
          <w:sz w:val="22"/>
          <w:szCs w:val="20"/>
        </w:rPr>
        <w:t>on of women in the organisation, particularly towards senior and technical leadership roles.</w:t>
      </w:r>
    </w:p>
    <w:p w14:paraId="4AF341FE" w14:textId="77777777" w:rsidR="00B1427C" w:rsidRPr="00DF2D6D" w:rsidRDefault="00B1427C" w:rsidP="00B1427C">
      <w:pPr>
        <w:pStyle w:val="ListParagraph"/>
        <w:numPr>
          <w:ilvl w:val="0"/>
          <w:numId w:val="3"/>
        </w:numPr>
        <w:spacing w:line="276" w:lineRule="auto"/>
        <w:jc w:val="both"/>
        <w:rPr>
          <w:rFonts w:ascii="Trebuchet MS" w:hAnsi="Trebuchet MS"/>
          <w:sz w:val="22"/>
          <w:szCs w:val="20"/>
        </w:rPr>
      </w:pPr>
      <w:r w:rsidRPr="00DF2D6D">
        <w:rPr>
          <w:rFonts w:ascii="Trebuchet MS" w:hAnsi="Trebuchet MS"/>
          <w:sz w:val="22"/>
          <w:szCs w:val="20"/>
        </w:rPr>
        <w:t>Review the existing performance management process, in support of unbiased performance assessments which contribute to employee development and growth.</w:t>
      </w:r>
    </w:p>
    <w:p w14:paraId="71378B61" w14:textId="77777777" w:rsidR="00B1427C" w:rsidRPr="00B1427C" w:rsidRDefault="00B1427C" w:rsidP="00B1427C">
      <w:pPr>
        <w:spacing w:line="276" w:lineRule="auto"/>
        <w:jc w:val="both"/>
        <w:rPr>
          <w:rFonts w:ascii="Trebuchet MS" w:hAnsi="Trebuchet MS"/>
          <w:sz w:val="22"/>
          <w:szCs w:val="20"/>
        </w:rPr>
      </w:pPr>
    </w:p>
    <w:p w14:paraId="7AEB0DD5" w14:textId="77777777" w:rsidR="00B1427C" w:rsidRPr="00B1427C" w:rsidRDefault="00B1427C" w:rsidP="00B1427C">
      <w:pPr>
        <w:spacing w:line="276" w:lineRule="auto"/>
        <w:jc w:val="both"/>
        <w:rPr>
          <w:rFonts w:ascii="Trebuchet MS" w:hAnsi="Trebuchet MS"/>
          <w:sz w:val="22"/>
          <w:szCs w:val="20"/>
        </w:rPr>
      </w:pPr>
      <w:r w:rsidRPr="00B1427C">
        <w:rPr>
          <w:rFonts w:ascii="Trebuchet MS" w:hAnsi="Trebuchet MS"/>
          <w:sz w:val="22"/>
          <w:szCs w:val="20"/>
        </w:rPr>
        <w:t>While the structural aspects of the gendered nature of the industry we are in will continue to challenge us in narrowing our gender pay gap, we are committed to working towards this goal, while we build our organisation as an inclusive, fair and empowering workplace.</w:t>
      </w:r>
    </w:p>
    <w:p w14:paraId="267E9F7D" w14:textId="77777777" w:rsidR="00DF2D6D" w:rsidRDefault="00DF2D6D" w:rsidP="00920738">
      <w:pPr>
        <w:spacing w:line="276" w:lineRule="auto"/>
        <w:jc w:val="both"/>
        <w:rPr>
          <w:rFonts w:ascii="Trebuchet MS" w:hAnsi="Trebuchet MS"/>
          <w:sz w:val="22"/>
          <w:szCs w:val="20"/>
        </w:rPr>
      </w:pPr>
    </w:p>
    <w:p w14:paraId="62B942AB" w14:textId="77777777" w:rsidR="00DF2D6D" w:rsidRDefault="00DF2D6D" w:rsidP="00920738">
      <w:pPr>
        <w:spacing w:line="276" w:lineRule="auto"/>
        <w:jc w:val="both"/>
        <w:rPr>
          <w:rFonts w:ascii="Trebuchet MS" w:hAnsi="Trebuchet MS"/>
          <w:sz w:val="22"/>
          <w:szCs w:val="20"/>
        </w:rPr>
      </w:pPr>
    </w:p>
    <w:p w14:paraId="783F862A" w14:textId="77777777" w:rsidR="004337E3" w:rsidRDefault="004337E3" w:rsidP="00920738">
      <w:pPr>
        <w:spacing w:line="276" w:lineRule="auto"/>
        <w:jc w:val="both"/>
        <w:rPr>
          <w:rFonts w:ascii="Trebuchet MS" w:hAnsi="Trebuchet MS"/>
          <w:sz w:val="22"/>
          <w:szCs w:val="20"/>
        </w:rPr>
      </w:pPr>
    </w:p>
    <w:p w14:paraId="380AF69D" w14:textId="77777777" w:rsidR="004337E3" w:rsidRDefault="002242B1" w:rsidP="00920738">
      <w:pPr>
        <w:spacing w:line="276" w:lineRule="auto"/>
        <w:jc w:val="both"/>
        <w:rPr>
          <w:rFonts w:ascii="Trebuchet MS" w:hAnsi="Trebuchet MS"/>
          <w:sz w:val="22"/>
          <w:szCs w:val="20"/>
        </w:rPr>
      </w:pPr>
      <w:r>
        <w:rPr>
          <w:rFonts w:ascii="Trebuchet MS" w:hAnsi="Trebuchet MS"/>
          <w:sz w:val="22"/>
          <w:szCs w:val="20"/>
        </w:rPr>
        <w:t>David Jessop</w:t>
      </w:r>
    </w:p>
    <w:p w14:paraId="17A3BA88" w14:textId="77777777" w:rsidR="002242B1" w:rsidRDefault="002242B1" w:rsidP="00920738">
      <w:pPr>
        <w:spacing w:line="276" w:lineRule="auto"/>
        <w:jc w:val="both"/>
        <w:rPr>
          <w:rFonts w:ascii="Trebuchet MS" w:hAnsi="Trebuchet MS"/>
          <w:sz w:val="22"/>
          <w:szCs w:val="20"/>
        </w:rPr>
      </w:pPr>
      <w:r>
        <w:rPr>
          <w:rFonts w:ascii="Trebuchet MS" w:hAnsi="Trebuchet MS"/>
          <w:sz w:val="22"/>
          <w:szCs w:val="20"/>
        </w:rPr>
        <w:t>Executive Director - People</w:t>
      </w:r>
    </w:p>
    <w:p w14:paraId="7F37B08B" w14:textId="77777777" w:rsidR="004337E3" w:rsidRPr="00920738" w:rsidRDefault="004337E3" w:rsidP="00920738">
      <w:pPr>
        <w:spacing w:line="276" w:lineRule="auto"/>
        <w:jc w:val="both"/>
        <w:rPr>
          <w:rFonts w:ascii="Trebuchet MS" w:hAnsi="Trebuchet MS"/>
          <w:sz w:val="22"/>
          <w:szCs w:val="20"/>
        </w:rPr>
      </w:pPr>
      <w:r>
        <w:rPr>
          <w:rFonts w:ascii="Trebuchet MS" w:hAnsi="Trebuchet MS"/>
          <w:sz w:val="22"/>
          <w:szCs w:val="20"/>
        </w:rPr>
        <w:t>15 March 2018</w:t>
      </w:r>
    </w:p>
    <w:sectPr w:rsidR="004337E3" w:rsidRPr="00920738" w:rsidSect="00D1449D">
      <w:headerReference w:type="default" r:id="rId8"/>
      <w:headerReference w:type="first" r:id="rId9"/>
      <w:pgSz w:w="11906" w:h="16838"/>
      <w:pgMar w:top="1077"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12D28" w14:textId="77777777" w:rsidR="004122A9" w:rsidRDefault="004122A9" w:rsidP="004C2C6F">
      <w:r>
        <w:separator/>
      </w:r>
    </w:p>
  </w:endnote>
  <w:endnote w:type="continuationSeparator" w:id="0">
    <w:p w14:paraId="6134E799" w14:textId="77777777" w:rsidR="004122A9" w:rsidRDefault="004122A9" w:rsidP="004C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FSMencap-Bold">
    <w:altName w:val="Calibri"/>
    <w:panose1 w:val="00000000000000000000"/>
    <w:charset w:val="00"/>
    <w:family w:val="swiss"/>
    <w:notTrueType/>
    <w:pitch w:val="default"/>
    <w:sig w:usb0="00000003" w:usb1="00000000" w:usb2="00000000" w:usb3="00000000" w:csb0="00000001" w:csb1="00000000"/>
  </w:font>
  <w:font w:name="FSMencap-Light">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620B4" w14:textId="77777777" w:rsidR="004122A9" w:rsidRDefault="004122A9" w:rsidP="004C2C6F">
      <w:r>
        <w:separator/>
      </w:r>
    </w:p>
  </w:footnote>
  <w:footnote w:type="continuationSeparator" w:id="0">
    <w:p w14:paraId="02758A08" w14:textId="77777777" w:rsidR="004122A9" w:rsidRDefault="004122A9" w:rsidP="004C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9E6C" w14:textId="77777777" w:rsidR="004C2C6F" w:rsidRDefault="004C2C6F" w:rsidP="004C2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8327" w14:textId="77777777" w:rsidR="00DF2D6D" w:rsidRDefault="00DF2D6D" w:rsidP="00DF2D6D">
    <w:pPr>
      <w:pStyle w:val="Header"/>
      <w:jc w:val="right"/>
    </w:pPr>
    <w:r w:rsidRPr="004C2C6F">
      <w:rPr>
        <w:noProof/>
      </w:rPr>
      <w:drawing>
        <wp:inline distT="0" distB="0" distL="0" distR="0" wp14:anchorId="63C505D6" wp14:editId="187DE1AC">
          <wp:extent cx="705600" cy="705600"/>
          <wp:effectExtent l="0" t="0" r="0" b="0"/>
          <wp:docPr id="11" name="Picture 2" descr="sl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slid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invGray">
                  <a:xfrm>
                    <a:off x="0" y="0"/>
                    <a:ext cx="705600" cy="705600"/>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42E41"/>
    <w:multiLevelType w:val="hybridMultilevel"/>
    <w:tmpl w:val="00A8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77D54"/>
    <w:multiLevelType w:val="hybridMultilevel"/>
    <w:tmpl w:val="9A8A0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50277D"/>
    <w:multiLevelType w:val="hybridMultilevel"/>
    <w:tmpl w:val="EE7EFB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986"/>
    <w:rsid w:val="000922AE"/>
    <w:rsid w:val="000A5986"/>
    <w:rsid w:val="000E4D51"/>
    <w:rsid w:val="00172110"/>
    <w:rsid w:val="00195EBF"/>
    <w:rsid w:val="00206E7B"/>
    <w:rsid w:val="002242B1"/>
    <w:rsid w:val="002A7419"/>
    <w:rsid w:val="003154E0"/>
    <w:rsid w:val="00391709"/>
    <w:rsid w:val="004122A9"/>
    <w:rsid w:val="004337E3"/>
    <w:rsid w:val="00445CBF"/>
    <w:rsid w:val="00461F4A"/>
    <w:rsid w:val="004C2C6F"/>
    <w:rsid w:val="00581D91"/>
    <w:rsid w:val="005854AE"/>
    <w:rsid w:val="005A7B64"/>
    <w:rsid w:val="005D0329"/>
    <w:rsid w:val="00606A06"/>
    <w:rsid w:val="006F3A67"/>
    <w:rsid w:val="007429B7"/>
    <w:rsid w:val="008A3AEF"/>
    <w:rsid w:val="00920738"/>
    <w:rsid w:val="009C3C99"/>
    <w:rsid w:val="00AE6D72"/>
    <w:rsid w:val="00B1427C"/>
    <w:rsid w:val="00B85D8E"/>
    <w:rsid w:val="00C760A8"/>
    <w:rsid w:val="00CB6AD8"/>
    <w:rsid w:val="00D1449D"/>
    <w:rsid w:val="00DF2D6D"/>
    <w:rsid w:val="00E61648"/>
    <w:rsid w:val="00EB7D0D"/>
    <w:rsid w:val="00F81564"/>
    <w:rsid w:val="00FD4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95EBE"/>
  <w15:docId w15:val="{70677283-5DCB-4AD8-9919-C9634726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2C6F"/>
    <w:pPr>
      <w:tabs>
        <w:tab w:val="center" w:pos="4513"/>
        <w:tab w:val="right" w:pos="9026"/>
      </w:tabs>
    </w:pPr>
  </w:style>
  <w:style w:type="character" w:customStyle="1" w:styleId="HeaderChar">
    <w:name w:val="Header Char"/>
    <w:basedOn w:val="DefaultParagraphFont"/>
    <w:link w:val="Header"/>
    <w:rsid w:val="004C2C6F"/>
    <w:rPr>
      <w:rFonts w:ascii="Arial" w:hAnsi="Arial"/>
      <w:sz w:val="24"/>
      <w:szCs w:val="24"/>
    </w:rPr>
  </w:style>
  <w:style w:type="paragraph" w:styleId="Footer">
    <w:name w:val="footer"/>
    <w:basedOn w:val="Normal"/>
    <w:link w:val="FooterChar"/>
    <w:rsid w:val="004C2C6F"/>
    <w:pPr>
      <w:tabs>
        <w:tab w:val="center" w:pos="4513"/>
        <w:tab w:val="right" w:pos="9026"/>
      </w:tabs>
    </w:pPr>
  </w:style>
  <w:style w:type="character" w:customStyle="1" w:styleId="FooterChar">
    <w:name w:val="Footer Char"/>
    <w:basedOn w:val="DefaultParagraphFont"/>
    <w:link w:val="Footer"/>
    <w:rsid w:val="004C2C6F"/>
    <w:rPr>
      <w:rFonts w:ascii="Arial" w:hAnsi="Arial"/>
      <w:sz w:val="24"/>
      <w:szCs w:val="24"/>
    </w:rPr>
  </w:style>
  <w:style w:type="paragraph" w:styleId="BalloonText">
    <w:name w:val="Balloon Text"/>
    <w:basedOn w:val="Normal"/>
    <w:link w:val="BalloonTextChar"/>
    <w:rsid w:val="004C2C6F"/>
    <w:rPr>
      <w:rFonts w:ascii="Tahoma" w:hAnsi="Tahoma" w:cs="Tahoma"/>
      <w:sz w:val="16"/>
      <w:szCs w:val="16"/>
    </w:rPr>
  </w:style>
  <w:style w:type="character" w:customStyle="1" w:styleId="BalloonTextChar">
    <w:name w:val="Balloon Text Char"/>
    <w:basedOn w:val="DefaultParagraphFont"/>
    <w:link w:val="BalloonText"/>
    <w:rsid w:val="004C2C6F"/>
    <w:rPr>
      <w:rFonts w:ascii="Tahoma" w:hAnsi="Tahoma" w:cs="Tahoma"/>
      <w:sz w:val="16"/>
      <w:szCs w:val="16"/>
    </w:rPr>
  </w:style>
  <w:style w:type="table" w:styleId="TableGrid">
    <w:name w:val="Table Grid"/>
    <w:basedOn w:val="TableNormal"/>
    <w:rsid w:val="00445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Barbour</dc:creator>
  <cp:lastModifiedBy>Ellie Hughes</cp:lastModifiedBy>
  <cp:revision>2</cp:revision>
  <dcterms:created xsi:type="dcterms:W3CDTF">2019-02-07T12:04:00Z</dcterms:created>
  <dcterms:modified xsi:type="dcterms:W3CDTF">2019-02-07T12:04:00Z</dcterms:modified>
</cp:coreProperties>
</file>